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653" w:rsidRDefault="00857653" w:rsidP="00857653">
      <w:pPr>
        <w:pStyle w:val="Heading2"/>
        <w:rPr>
          <w:rFonts w:ascii="Arial" w:hAnsi="Arial"/>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56"/>
        <w:gridCol w:w="1827"/>
        <w:gridCol w:w="1819"/>
      </w:tblGrid>
      <w:tr w:rsidR="00857653" w:rsidTr="00606C35">
        <w:tc>
          <w:tcPr>
            <w:tcW w:w="3156" w:type="dxa"/>
          </w:tcPr>
          <w:p w:rsidR="00857653" w:rsidRDefault="00857653" w:rsidP="00606C35">
            <w:pPr>
              <w:rPr>
                <w:noProof/>
                <w:lang w:eastAsia="lv-LV"/>
              </w:rPr>
            </w:pPr>
          </w:p>
          <w:p w:rsidR="00857653" w:rsidRDefault="00857653" w:rsidP="00606C35">
            <w:pPr>
              <w:rPr>
                <w:noProof/>
                <w:lang w:eastAsia="lv-LV"/>
              </w:rPr>
            </w:pPr>
          </w:p>
          <w:p w:rsidR="00857653" w:rsidRDefault="00857653" w:rsidP="00606C35">
            <w:r w:rsidRPr="00354A57">
              <w:rPr>
                <w:noProof/>
                <w:lang w:val="lv-LV" w:eastAsia="lv-LV"/>
              </w:rPr>
              <w:drawing>
                <wp:inline distT="0" distB="0" distL="0" distR="0">
                  <wp:extent cx="1841648" cy="510362"/>
                  <wp:effectExtent l="19050" t="0" r="6202"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841792" cy="510402"/>
                          </a:xfrm>
                          <a:prstGeom prst="rect">
                            <a:avLst/>
                          </a:prstGeom>
                          <a:noFill/>
                          <a:ln w="9525">
                            <a:noFill/>
                            <a:miter lim="800000"/>
                            <a:headEnd/>
                            <a:tailEnd/>
                          </a:ln>
                        </pic:spPr>
                      </pic:pic>
                    </a:graphicData>
                  </a:graphic>
                </wp:inline>
              </w:drawing>
            </w:r>
          </w:p>
        </w:tc>
        <w:tc>
          <w:tcPr>
            <w:tcW w:w="1827" w:type="dxa"/>
          </w:tcPr>
          <w:p w:rsidR="00857653" w:rsidRPr="00F47D15" w:rsidRDefault="00857653" w:rsidP="00606C35">
            <w:pPr>
              <w:rPr>
                <w:b/>
                <w:bCs/>
                <w:sz w:val="20"/>
                <w:szCs w:val="20"/>
                <w:lang w:val="en-GB"/>
              </w:rPr>
            </w:pPr>
            <w:r w:rsidRPr="00F47D15">
              <w:rPr>
                <w:b/>
                <w:bCs/>
                <w:sz w:val="20"/>
                <w:szCs w:val="20"/>
                <w:lang w:val="en-GB"/>
              </w:rPr>
              <w:t>“GREAT ROUTES IN THE MIDDLE AGE AND THEIR SYMBOLOGY”</w:t>
            </w:r>
          </w:p>
          <w:p w:rsidR="00857653" w:rsidRDefault="00857653" w:rsidP="00606C35">
            <w:r w:rsidRPr="00F47D15">
              <w:rPr>
                <w:b/>
                <w:bCs/>
                <w:sz w:val="20"/>
                <w:szCs w:val="20"/>
                <w:lang w:val="en-GB"/>
              </w:rPr>
              <w:t>Nr. 2016-1-ES01-KA219-025035_3</w:t>
            </w:r>
          </w:p>
        </w:tc>
        <w:tc>
          <w:tcPr>
            <w:tcW w:w="1819" w:type="dxa"/>
          </w:tcPr>
          <w:p w:rsidR="00857653" w:rsidRDefault="00857653" w:rsidP="00606C35">
            <w:r>
              <w:rPr>
                <w:noProof/>
                <w:lang w:val="lv-LV" w:eastAsia="lv-LV"/>
              </w:rPr>
              <w:drawing>
                <wp:inline distT="0" distB="0" distL="0" distR="0">
                  <wp:extent cx="990600" cy="990600"/>
                  <wp:effectExtent l="19050" t="0" r="0" b="0"/>
                  <wp:docPr id="22" name="Picture 1" descr="Erasmus Middle Routes profila bil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asmus Middle Routes profila bilde"/>
                          <pic:cNvPicPr>
                            <a:picLocks noChangeAspect="1" noChangeArrowheads="1"/>
                          </pic:cNvPicPr>
                        </pic:nvPicPr>
                        <pic:blipFill>
                          <a:blip r:embed="rId5" cstate="print"/>
                          <a:srcRect/>
                          <a:stretch>
                            <a:fillRect/>
                          </a:stretch>
                        </pic:blipFill>
                        <pic:spPr bwMode="auto">
                          <a:xfrm>
                            <a:off x="0" y="0"/>
                            <a:ext cx="988755" cy="988755"/>
                          </a:xfrm>
                          <a:prstGeom prst="rect">
                            <a:avLst/>
                          </a:prstGeom>
                          <a:noFill/>
                          <a:ln w="9525">
                            <a:noFill/>
                            <a:miter lim="800000"/>
                            <a:headEnd/>
                            <a:tailEnd/>
                          </a:ln>
                        </pic:spPr>
                      </pic:pic>
                    </a:graphicData>
                  </a:graphic>
                </wp:inline>
              </w:drawing>
            </w:r>
          </w:p>
        </w:tc>
      </w:tr>
    </w:tbl>
    <w:p w:rsidR="00857653" w:rsidRPr="00F47D15" w:rsidRDefault="00857653" w:rsidP="00857653">
      <w:pPr>
        <w:pStyle w:val="Heading2"/>
        <w:jc w:val="center"/>
        <w:rPr>
          <w:rFonts w:ascii="Arial" w:hAnsi="Arial"/>
          <w:sz w:val="24"/>
          <w:szCs w:val="24"/>
        </w:rPr>
      </w:pPr>
      <w:r>
        <w:rPr>
          <w:noProof/>
        </w:rPr>
        <w:drawing>
          <wp:anchor distT="0" distB="0" distL="114300" distR="114300" simplePos="0" relativeHeight="251659264" behindDoc="0" locked="0" layoutInCell="1" allowOverlap="1">
            <wp:simplePos x="0" y="0"/>
            <wp:positionH relativeFrom="margin">
              <wp:posOffset>4171950</wp:posOffset>
            </wp:positionH>
            <wp:positionV relativeFrom="margin">
              <wp:posOffset>2026920</wp:posOffset>
            </wp:positionV>
            <wp:extent cx="1781175" cy="2000250"/>
            <wp:effectExtent l="19050" t="0" r="9525" b="0"/>
            <wp:wrapSquare wrapText="bothSides"/>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ace307b53c23f54fff7ce236ea25152.jp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81175" cy="2000250"/>
                    </a:xfrm>
                    <a:prstGeom prst="rect">
                      <a:avLst/>
                    </a:prstGeom>
                  </pic:spPr>
                </pic:pic>
              </a:graphicData>
            </a:graphic>
          </wp:anchor>
        </w:drawing>
      </w:r>
    </w:p>
    <w:p w:rsidR="00857653" w:rsidRPr="00F47D15" w:rsidRDefault="00857653" w:rsidP="00857653">
      <w:pPr>
        <w:pStyle w:val="Body"/>
        <w:rPr>
          <w:rFonts w:ascii="Arial" w:hAnsi="Arial" w:cs="Arial"/>
          <w:b/>
        </w:rPr>
      </w:pPr>
      <w:r w:rsidRPr="00F47D15">
        <w:rPr>
          <w:rFonts w:ascii="Arial" w:hAnsi="Arial" w:cs="Arial"/>
          <w:b/>
        </w:rPr>
        <w:t xml:space="preserve">Laura Kārkle, </w:t>
      </w:r>
      <w:proofErr w:type="spellStart"/>
      <w:r w:rsidRPr="00F47D15">
        <w:rPr>
          <w:rFonts w:ascii="Arial" w:hAnsi="Arial" w:cs="Arial"/>
          <w:b/>
        </w:rPr>
        <w:t>Latvia</w:t>
      </w:r>
      <w:proofErr w:type="spellEnd"/>
    </w:p>
    <w:p w:rsidR="00857653" w:rsidRDefault="00857653" w:rsidP="00857653">
      <w:pPr>
        <w:pStyle w:val="Heading2"/>
        <w:jc w:val="center"/>
        <w:rPr>
          <w:rFonts w:ascii="Arial" w:hAnsi="Arial"/>
          <w:sz w:val="24"/>
          <w:szCs w:val="24"/>
        </w:rPr>
      </w:pPr>
    </w:p>
    <w:p w:rsidR="00857653" w:rsidRDefault="00857653" w:rsidP="00857653">
      <w:pPr>
        <w:pStyle w:val="Heading2"/>
        <w:rPr>
          <w:rFonts w:ascii="Arial" w:hAnsi="Arial"/>
          <w:sz w:val="24"/>
          <w:szCs w:val="24"/>
        </w:rPr>
      </w:pPr>
    </w:p>
    <w:p w:rsidR="00857653" w:rsidRDefault="00857653" w:rsidP="00857653">
      <w:pPr>
        <w:pStyle w:val="Heading2"/>
        <w:jc w:val="center"/>
        <w:rPr>
          <w:rFonts w:ascii="Arial" w:eastAsia="Arial" w:hAnsi="Arial" w:cs="Arial"/>
          <w:sz w:val="24"/>
          <w:szCs w:val="24"/>
        </w:rPr>
      </w:pPr>
      <w:r>
        <w:rPr>
          <w:rFonts w:ascii="Arial" w:hAnsi="Arial"/>
          <w:sz w:val="24"/>
          <w:szCs w:val="24"/>
        </w:rPr>
        <w:t>Miķeļi</w:t>
      </w:r>
      <w:r>
        <w:rPr>
          <w:rFonts w:ascii="Arial" w:hAnsi="Arial"/>
          <w:sz w:val="24"/>
          <w:szCs w:val="24"/>
          <w:lang w:val="en-US"/>
        </w:rPr>
        <w:t xml:space="preserve"> (AUTUMN EQUINOX</w:t>
      </w:r>
      <w:proofErr w:type="gramStart"/>
      <w:r>
        <w:rPr>
          <w:rFonts w:ascii="Arial" w:hAnsi="Arial"/>
          <w:sz w:val="24"/>
          <w:szCs w:val="24"/>
          <w:lang w:val="en-US"/>
        </w:rPr>
        <w:t xml:space="preserve"> )</w:t>
      </w:r>
      <w:proofErr w:type="gramEnd"/>
    </w:p>
    <w:p w:rsidR="00857653" w:rsidRDefault="00857653" w:rsidP="00857653">
      <w:pPr>
        <w:pStyle w:val="BodyText2"/>
        <w:rPr>
          <w:rFonts w:ascii="Arial" w:eastAsia="Arial" w:hAnsi="Arial" w:cs="Arial"/>
          <w:b/>
          <w:bCs/>
          <w:sz w:val="24"/>
          <w:szCs w:val="24"/>
        </w:rPr>
      </w:pPr>
    </w:p>
    <w:p w:rsidR="00857653" w:rsidRDefault="00857653" w:rsidP="00857653">
      <w:pPr>
        <w:pStyle w:val="BodyText2"/>
        <w:jc w:val="both"/>
        <w:rPr>
          <w:rFonts w:ascii="Arial" w:eastAsia="Arial" w:hAnsi="Arial" w:cs="Arial"/>
          <w:sz w:val="24"/>
          <w:szCs w:val="24"/>
        </w:rPr>
      </w:pPr>
      <w:r>
        <w:rPr>
          <w:b/>
          <w:bCs/>
          <w:sz w:val="24"/>
          <w:szCs w:val="24"/>
        </w:rPr>
        <w:tab/>
      </w:r>
      <w:r>
        <w:rPr>
          <w:rFonts w:ascii="Arial" w:hAnsi="Arial"/>
          <w:sz w:val="24"/>
          <w:szCs w:val="24"/>
        </w:rPr>
        <w:t xml:space="preserve">The festival is celebrated during the Autumn Equinox. Here, two different causes for celebration are distinguishable. The first one is created by the arrival of </w:t>
      </w:r>
      <w:proofErr w:type="spellStart"/>
      <w:r>
        <w:rPr>
          <w:rFonts w:ascii="Arial" w:hAnsi="Arial"/>
          <w:sz w:val="24"/>
          <w:szCs w:val="24"/>
        </w:rPr>
        <w:t>Dievadēls</w:t>
      </w:r>
      <w:proofErr w:type="spellEnd"/>
      <w:r>
        <w:rPr>
          <w:rFonts w:ascii="Arial" w:hAnsi="Arial"/>
          <w:sz w:val="24"/>
          <w:szCs w:val="24"/>
        </w:rPr>
        <w:t xml:space="preserve"> </w:t>
      </w:r>
      <w:proofErr w:type="spellStart"/>
      <w:r>
        <w:rPr>
          <w:rFonts w:ascii="Arial" w:hAnsi="Arial"/>
          <w:sz w:val="24"/>
          <w:szCs w:val="24"/>
        </w:rPr>
        <w:t>Miķelis</w:t>
      </w:r>
      <w:proofErr w:type="spellEnd"/>
      <w:r>
        <w:rPr>
          <w:rFonts w:ascii="Arial" w:hAnsi="Arial"/>
          <w:sz w:val="24"/>
          <w:szCs w:val="24"/>
        </w:rPr>
        <w:t xml:space="preserve">, whose celestial origin makes him the interpreter of astronomical even though his earthly image has changed to represent the bounty of the harvest season. The </w:t>
      </w:r>
      <w:proofErr w:type="spellStart"/>
      <w:r>
        <w:rPr>
          <w:rFonts w:ascii="Arial" w:hAnsi="Arial"/>
          <w:sz w:val="24"/>
          <w:szCs w:val="24"/>
        </w:rPr>
        <w:t>dainas</w:t>
      </w:r>
      <w:proofErr w:type="spellEnd"/>
      <w:r>
        <w:rPr>
          <w:rFonts w:ascii="Arial" w:hAnsi="Arial"/>
          <w:sz w:val="24"/>
          <w:szCs w:val="24"/>
        </w:rPr>
        <w:t xml:space="preserve"> depict him as a stout, prosperous man who has a rich wife.</w:t>
      </w:r>
    </w:p>
    <w:p w:rsidR="00857653" w:rsidRDefault="00857653" w:rsidP="00857653">
      <w:pPr>
        <w:pStyle w:val="BodyText2"/>
        <w:jc w:val="both"/>
        <w:rPr>
          <w:rFonts w:ascii="Arial" w:eastAsia="Arial" w:hAnsi="Arial" w:cs="Arial"/>
          <w:sz w:val="24"/>
          <w:szCs w:val="24"/>
        </w:rPr>
      </w:pPr>
      <w:r>
        <w:rPr>
          <w:rFonts w:ascii="Arial" w:eastAsia="Arial" w:hAnsi="Arial" w:cs="Arial"/>
          <w:sz w:val="24"/>
          <w:szCs w:val="24"/>
        </w:rPr>
        <w:tab/>
        <w:t xml:space="preserve">The second cause for celebration, connected exclusively with the harvesting of crops, consists of thanksgiving ceremonies and fertility rituals. Here the personification of the concept of life and reproduction called </w:t>
      </w:r>
      <w:proofErr w:type="spellStart"/>
      <w:r>
        <w:rPr>
          <w:rFonts w:ascii="Arial" w:eastAsia="Arial" w:hAnsi="Arial" w:cs="Arial"/>
          <w:sz w:val="24"/>
          <w:szCs w:val="24"/>
        </w:rPr>
        <w:t>Jumis</w:t>
      </w:r>
      <w:proofErr w:type="spellEnd"/>
      <w:r>
        <w:rPr>
          <w:rFonts w:ascii="Arial" w:eastAsia="Arial" w:hAnsi="Arial" w:cs="Arial"/>
          <w:sz w:val="24"/>
          <w:szCs w:val="24"/>
        </w:rPr>
        <w:t xml:space="preserve"> is the centre of attraction. His projected image reveals a man of small stature, whose garments resemble ears of wheat, barley, and hops. His wife has similar attire. His symbolic presence, however, is found in nature as double ears of wheat or other crops that have been joined together in the growing process.</w:t>
      </w:r>
    </w:p>
    <w:p w:rsidR="00857653" w:rsidRDefault="00857653" w:rsidP="00857653">
      <w:pPr>
        <w:pStyle w:val="BodyText2"/>
        <w:jc w:val="both"/>
        <w:rPr>
          <w:rFonts w:ascii="Arial" w:eastAsia="Arial" w:hAnsi="Arial" w:cs="Arial"/>
          <w:sz w:val="24"/>
          <w:szCs w:val="24"/>
        </w:rPr>
      </w:pPr>
      <w:r>
        <w:rPr>
          <w:rFonts w:ascii="Arial" w:eastAsia="Arial" w:hAnsi="Arial" w:cs="Arial"/>
          <w:sz w:val="24"/>
          <w:szCs w:val="24"/>
        </w:rPr>
        <w:tab/>
        <w:t xml:space="preserve">These two personifications set the stage for this festival. Although the main celebration occurs on Sunday, the days directly preceding and following </w:t>
      </w:r>
      <w:proofErr w:type="spellStart"/>
      <w:r>
        <w:rPr>
          <w:rFonts w:ascii="Arial" w:eastAsia="Arial" w:hAnsi="Arial" w:cs="Arial"/>
          <w:sz w:val="24"/>
          <w:szCs w:val="24"/>
        </w:rPr>
        <w:t>Mi</w:t>
      </w:r>
      <w:r>
        <w:rPr>
          <w:rFonts w:ascii="Arial" w:hAnsi="Arial"/>
          <w:sz w:val="24"/>
          <w:szCs w:val="24"/>
        </w:rPr>
        <w:t>ķeļi</w:t>
      </w:r>
      <w:proofErr w:type="spellEnd"/>
      <w:r>
        <w:rPr>
          <w:rFonts w:ascii="Arial" w:hAnsi="Arial"/>
          <w:sz w:val="24"/>
          <w:szCs w:val="24"/>
        </w:rPr>
        <w:t xml:space="preserve"> are included in the festival, thus causing it to be a three-day celebration. The first day is marked by activities in the fields </w:t>
      </w:r>
      <w:proofErr w:type="spellStart"/>
      <w:r>
        <w:rPr>
          <w:rFonts w:ascii="Arial" w:hAnsi="Arial"/>
          <w:sz w:val="24"/>
          <w:szCs w:val="24"/>
        </w:rPr>
        <w:t>finalising</w:t>
      </w:r>
      <w:proofErr w:type="spellEnd"/>
      <w:r>
        <w:rPr>
          <w:rFonts w:ascii="Arial" w:hAnsi="Arial"/>
          <w:sz w:val="24"/>
          <w:szCs w:val="24"/>
        </w:rPr>
        <w:t xml:space="preserve"> the harvesting of crops. </w:t>
      </w:r>
      <w:proofErr w:type="spellStart"/>
      <w:r>
        <w:rPr>
          <w:rFonts w:ascii="Arial" w:hAnsi="Arial"/>
          <w:sz w:val="24"/>
          <w:szCs w:val="24"/>
        </w:rPr>
        <w:t>Jumis</w:t>
      </w:r>
      <w:proofErr w:type="spellEnd"/>
      <w:r>
        <w:rPr>
          <w:rFonts w:ascii="Arial" w:hAnsi="Arial"/>
          <w:sz w:val="24"/>
          <w:szCs w:val="24"/>
        </w:rPr>
        <w:t xml:space="preserve"> is caught hiding in the last bit of uncut crops. These stalks are used to make a wreath </w:t>
      </w:r>
      <w:proofErr w:type="spellStart"/>
      <w:r>
        <w:rPr>
          <w:rFonts w:ascii="Arial" w:hAnsi="Arial"/>
          <w:sz w:val="24"/>
          <w:szCs w:val="24"/>
        </w:rPr>
        <w:t>symbolising</w:t>
      </w:r>
      <w:proofErr w:type="spellEnd"/>
      <w:r>
        <w:rPr>
          <w:rFonts w:ascii="Arial" w:hAnsi="Arial"/>
          <w:sz w:val="24"/>
          <w:szCs w:val="24"/>
        </w:rPr>
        <w:t xml:space="preserve"> </w:t>
      </w:r>
      <w:proofErr w:type="spellStart"/>
      <w:r>
        <w:rPr>
          <w:rFonts w:ascii="Arial" w:hAnsi="Arial"/>
          <w:sz w:val="24"/>
          <w:szCs w:val="24"/>
        </w:rPr>
        <w:t>Jumis</w:t>
      </w:r>
      <w:proofErr w:type="spellEnd"/>
      <w:r>
        <w:rPr>
          <w:rFonts w:ascii="Arial" w:hAnsi="Arial"/>
          <w:sz w:val="24"/>
          <w:szCs w:val="24"/>
        </w:rPr>
        <w:t xml:space="preserve">, which is brought home and placed in the granary until next spring, when </w:t>
      </w:r>
      <w:proofErr w:type="spellStart"/>
      <w:r>
        <w:rPr>
          <w:rFonts w:ascii="Arial" w:hAnsi="Arial"/>
          <w:sz w:val="24"/>
          <w:szCs w:val="24"/>
        </w:rPr>
        <w:t>Jumis</w:t>
      </w:r>
      <w:proofErr w:type="spellEnd"/>
      <w:r>
        <w:rPr>
          <w:rFonts w:ascii="Arial" w:hAnsi="Arial"/>
          <w:sz w:val="24"/>
          <w:szCs w:val="24"/>
        </w:rPr>
        <w:t xml:space="preserve">, along with the sown seeds, is returned to the fields. In the evening an outdoor fire is lit in </w:t>
      </w:r>
      <w:proofErr w:type="spellStart"/>
      <w:r>
        <w:rPr>
          <w:rFonts w:ascii="Arial" w:hAnsi="Arial"/>
          <w:sz w:val="24"/>
          <w:szCs w:val="24"/>
        </w:rPr>
        <w:t>honour</w:t>
      </w:r>
      <w:proofErr w:type="spellEnd"/>
      <w:r>
        <w:rPr>
          <w:rFonts w:ascii="Arial" w:hAnsi="Arial"/>
          <w:sz w:val="24"/>
          <w:szCs w:val="24"/>
        </w:rPr>
        <w:t xml:space="preserve"> of </w:t>
      </w:r>
      <w:proofErr w:type="spellStart"/>
      <w:r>
        <w:rPr>
          <w:rFonts w:ascii="Arial" w:hAnsi="Arial"/>
          <w:sz w:val="24"/>
          <w:szCs w:val="24"/>
        </w:rPr>
        <w:t>Miķelis</w:t>
      </w:r>
      <w:proofErr w:type="spellEnd"/>
      <w:r>
        <w:rPr>
          <w:rFonts w:ascii="Arial" w:hAnsi="Arial"/>
          <w:sz w:val="24"/>
          <w:szCs w:val="24"/>
        </w:rPr>
        <w:t xml:space="preserve">, and singing and dancing takes places around it. The feast includes chicken, which is considered a fitting gift for </w:t>
      </w:r>
      <w:proofErr w:type="spellStart"/>
      <w:r>
        <w:rPr>
          <w:rFonts w:ascii="Arial" w:hAnsi="Arial"/>
          <w:sz w:val="24"/>
          <w:szCs w:val="24"/>
        </w:rPr>
        <w:t>Miķelis</w:t>
      </w:r>
      <w:proofErr w:type="spellEnd"/>
      <w:r>
        <w:rPr>
          <w:rFonts w:ascii="Arial" w:hAnsi="Arial"/>
          <w:sz w:val="24"/>
          <w:szCs w:val="24"/>
        </w:rPr>
        <w:t>.</w:t>
      </w:r>
    </w:p>
    <w:p w:rsidR="00857653" w:rsidRDefault="00857653" w:rsidP="00857653">
      <w:pPr>
        <w:pStyle w:val="BodyText2"/>
        <w:jc w:val="both"/>
        <w:rPr>
          <w:rFonts w:ascii="Arial" w:eastAsia="Arial" w:hAnsi="Arial" w:cs="Arial"/>
          <w:sz w:val="24"/>
          <w:szCs w:val="24"/>
        </w:rPr>
      </w:pPr>
      <w:r>
        <w:rPr>
          <w:rFonts w:ascii="Arial" w:eastAsia="Arial" w:hAnsi="Arial" w:cs="Arial"/>
          <w:sz w:val="24"/>
          <w:szCs w:val="24"/>
        </w:rPr>
        <w:tab/>
        <w:t xml:space="preserve">The second day of </w:t>
      </w:r>
      <w:proofErr w:type="spellStart"/>
      <w:r>
        <w:rPr>
          <w:rFonts w:ascii="Arial" w:eastAsia="Arial" w:hAnsi="Arial" w:cs="Arial"/>
          <w:sz w:val="24"/>
          <w:szCs w:val="24"/>
        </w:rPr>
        <w:t>Mi</w:t>
      </w:r>
      <w:r>
        <w:rPr>
          <w:rFonts w:ascii="Arial" w:hAnsi="Arial"/>
          <w:sz w:val="24"/>
          <w:szCs w:val="24"/>
        </w:rPr>
        <w:t>ķeļi</w:t>
      </w:r>
      <w:proofErr w:type="spellEnd"/>
      <w:r>
        <w:rPr>
          <w:rFonts w:ascii="Arial" w:hAnsi="Arial"/>
          <w:sz w:val="24"/>
          <w:szCs w:val="24"/>
        </w:rPr>
        <w:t xml:space="preserve"> </w:t>
      </w:r>
      <w:proofErr w:type="spellStart"/>
      <w:r>
        <w:rPr>
          <w:rFonts w:ascii="Arial" w:hAnsi="Arial"/>
          <w:sz w:val="24"/>
          <w:szCs w:val="24"/>
        </w:rPr>
        <w:t>centres</w:t>
      </w:r>
      <w:proofErr w:type="spellEnd"/>
      <w:r>
        <w:rPr>
          <w:rFonts w:ascii="Arial" w:hAnsi="Arial"/>
          <w:sz w:val="24"/>
          <w:szCs w:val="24"/>
        </w:rPr>
        <w:t xml:space="preserve"> </w:t>
      </w:r>
      <w:proofErr w:type="gramStart"/>
      <w:r>
        <w:rPr>
          <w:rFonts w:ascii="Arial" w:hAnsi="Arial"/>
          <w:sz w:val="24"/>
          <w:szCs w:val="24"/>
        </w:rPr>
        <w:t>around</w:t>
      </w:r>
      <w:proofErr w:type="gramEnd"/>
      <w:r>
        <w:rPr>
          <w:rFonts w:ascii="Arial" w:hAnsi="Arial"/>
          <w:sz w:val="24"/>
          <w:szCs w:val="24"/>
        </w:rPr>
        <w:t xml:space="preserve"> a thanksgiving feast, where freshly baked bread, along with a multitude of other food reflecting the bounty of the season, is served.</w:t>
      </w:r>
    </w:p>
    <w:p w:rsidR="00857653" w:rsidRDefault="00857653" w:rsidP="00857653">
      <w:pPr>
        <w:pStyle w:val="BodyText2"/>
        <w:jc w:val="both"/>
        <w:rPr>
          <w:rFonts w:ascii="Arial" w:eastAsia="Arial" w:hAnsi="Arial" w:cs="Arial"/>
          <w:sz w:val="24"/>
          <w:szCs w:val="24"/>
        </w:rPr>
      </w:pPr>
      <w:r>
        <w:rPr>
          <w:rFonts w:ascii="Arial" w:eastAsia="Arial" w:hAnsi="Arial" w:cs="Arial"/>
          <w:sz w:val="24"/>
          <w:szCs w:val="24"/>
        </w:rPr>
        <w:tab/>
        <w:t xml:space="preserve">The third day of the </w:t>
      </w:r>
      <w:proofErr w:type="spellStart"/>
      <w:r>
        <w:rPr>
          <w:rFonts w:ascii="Arial" w:eastAsia="Arial" w:hAnsi="Arial" w:cs="Arial"/>
          <w:sz w:val="24"/>
          <w:szCs w:val="24"/>
        </w:rPr>
        <w:t>Mi</w:t>
      </w:r>
      <w:r>
        <w:rPr>
          <w:rFonts w:ascii="Arial" w:hAnsi="Arial"/>
          <w:sz w:val="24"/>
          <w:szCs w:val="24"/>
        </w:rPr>
        <w:t>ķeļi</w:t>
      </w:r>
      <w:proofErr w:type="spellEnd"/>
      <w:r>
        <w:rPr>
          <w:rFonts w:ascii="Arial" w:hAnsi="Arial"/>
          <w:sz w:val="24"/>
          <w:szCs w:val="24"/>
        </w:rPr>
        <w:t xml:space="preserve"> festival is the Market Day. Besides the obvious purposes of buying and selling, the market provides a meeting place for young people. According to the ancient wedding customs, this day is also known as the last day when young men can come courting. If a proposal of marriage is not received by this day, then a girl has to wait until next year. </w:t>
      </w:r>
    </w:p>
    <w:p w:rsidR="00857653" w:rsidRPr="00F47D15" w:rsidRDefault="00857653" w:rsidP="00857653">
      <w:pPr>
        <w:pStyle w:val="BodyText2"/>
        <w:jc w:val="both"/>
        <w:rPr>
          <w:rFonts w:ascii="Arial" w:eastAsia="Arial" w:hAnsi="Arial" w:cs="Arial"/>
          <w:b/>
          <w:i/>
          <w:sz w:val="24"/>
          <w:szCs w:val="24"/>
          <w:u w:val="single"/>
        </w:rPr>
      </w:pPr>
      <w:r w:rsidRPr="00F47D15">
        <w:rPr>
          <w:rFonts w:ascii="Arial" w:eastAsia="Arial" w:hAnsi="Arial" w:cs="Arial"/>
          <w:b/>
          <w:i/>
          <w:sz w:val="24"/>
          <w:szCs w:val="24"/>
          <w:u w:val="single"/>
        </w:rPr>
        <w:t xml:space="preserve"> References:</w:t>
      </w:r>
    </w:p>
    <w:p w:rsidR="00857653" w:rsidRDefault="00857653" w:rsidP="00857653">
      <w:pPr>
        <w:pStyle w:val="BodyText2"/>
        <w:jc w:val="both"/>
        <w:rPr>
          <w:rFonts w:ascii="Arial" w:hAnsi="Arial" w:cs="Arial"/>
          <w:sz w:val="24"/>
          <w:szCs w:val="24"/>
        </w:rPr>
      </w:pPr>
      <w:proofErr w:type="gramStart"/>
      <w:r w:rsidRPr="000A546A">
        <w:rPr>
          <w:rFonts w:ascii="Arial" w:hAnsi="Arial" w:cs="Arial"/>
          <w:sz w:val="24"/>
          <w:szCs w:val="24"/>
        </w:rPr>
        <w:t xml:space="preserve">(M. </w:t>
      </w:r>
      <w:proofErr w:type="spellStart"/>
      <w:r w:rsidRPr="000A546A">
        <w:rPr>
          <w:rFonts w:ascii="Arial" w:hAnsi="Arial" w:cs="Arial"/>
          <w:sz w:val="24"/>
          <w:szCs w:val="24"/>
        </w:rPr>
        <w:t>Grīns</w:t>
      </w:r>
      <w:proofErr w:type="spellEnd"/>
      <w:r w:rsidRPr="000A546A">
        <w:rPr>
          <w:rFonts w:ascii="Arial" w:hAnsi="Arial" w:cs="Arial"/>
          <w:sz w:val="24"/>
          <w:szCs w:val="24"/>
        </w:rPr>
        <w:t xml:space="preserve">, </w:t>
      </w:r>
      <w:proofErr w:type="spellStart"/>
      <w:r w:rsidRPr="000A546A">
        <w:rPr>
          <w:rFonts w:ascii="Arial" w:hAnsi="Arial" w:cs="Arial"/>
          <w:sz w:val="24"/>
          <w:szCs w:val="24"/>
        </w:rPr>
        <w:t>M.Grīna”The</w:t>
      </w:r>
      <w:proofErr w:type="spellEnd"/>
      <w:r w:rsidRPr="000A546A">
        <w:rPr>
          <w:rFonts w:ascii="Arial" w:hAnsi="Arial" w:cs="Arial"/>
          <w:sz w:val="24"/>
          <w:szCs w:val="24"/>
        </w:rPr>
        <w:t xml:space="preserve"> Ancient Latvian Time-reckoning System, Festivals and Celebrations”.</w:t>
      </w:r>
      <w:proofErr w:type="gramEnd"/>
      <w:r w:rsidRPr="000A546A">
        <w:rPr>
          <w:rFonts w:ascii="Arial" w:hAnsi="Arial" w:cs="Arial"/>
          <w:sz w:val="24"/>
          <w:szCs w:val="24"/>
        </w:rPr>
        <w:t xml:space="preserve"> - </w:t>
      </w:r>
      <w:proofErr w:type="spellStart"/>
      <w:r w:rsidRPr="000A546A">
        <w:rPr>
          <w:rFonts w:ascii="Arial" w:hAnsi="Arial" w:cs="Arial"/>
          <w:sz w:val="24"/>
          <w:szCs w:val="24"/>
        </w:rPr>
        <w:t>Izdevniecība”Everests</w:t>
      </w:r>
      <w:proofErr w:type="spellEnd"/>
      <w:r w:rsidRPr="000A546A">
        <w:rPr>
          <w:rFonts w:ascii="Arial" w:hAnsi="Arial" w:cs="Arial"/>
          <w:sz w:val="24"/>
          <w:szCs w:val="24"/>
        </w:rPr>
        <w:t xml:space="preserve">”, </w:t>
      </w:r>
      <w:proofErr w:type="gramStart"/>
      <w:r w:rsidRPr="000A546A">
        <w:rPr>
          <w:rFonts w:ascii="Arial" w:hAnsi="Arial" w:cs="Arial"/>
          <w:sz w:val="24"/>
          <w:szCs w:val="24"/>
        </w:rPr>
        <w:t>1992.,</w:t>
      </w:r>
      <w:proofErr w:type="gramEnd"/>
      <w:r w:rsidRPr="000A546A">
        <w:rPr>
          <w:rFonts w:ascii="Arial" w:hAnsi="Arial" w:cs="Arial"/>
          <w:sz w:val="24"/>
          <w:szCs w:val="24"/>
        </w:rPr>
        <w:t xml:space="preserve"> p. 444.-445.)</w:t>
      </w:r>
    </w:p>
    <w:p w:rsidR="000A4F99" w:rsidRDefault="000A4F99"/>
    <w:sectPr w:rsidR="000A4F99" w:rsidSect="00857653">
      <w:pgSz w:w="11906" w:h="16838"/>
      <w:pgMar w:top="709"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57653"/>
    <w:rsid w:val="000A4F99"/>
    <w:rsid w:val="00857653"/>
    <w:rsid w:val="00A735D3"/>
    <w:rsid w:val="00BE2B5F"/>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57653"/>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Heading2">
    <w:name w:val="heading 2"/>
    <w:next w:val="Body"/>
    <w:link w:val="Heading2Char"/>
    <w:rsid w:val="00857653"/>
    <w:pPr>
      <w:keepNext/>
      <w:pBdr>
        <w:top w:val="nil"/>
        <w:left w:val="nil"/>
        <w:bottom w:val="nil"/>
        <w:right w:val="nil"/>
        <w:between w:val="nil"/>
        <w:bar w:val="nil"/>
      </w:pBdr>
      <w:spacing w:after="0" w:line="240" w:lineRule="auto"/>
      <w:outlineLvl w:val="1"/>
    </w:pPr>
    <w:rPr>
      <w:rFonts w:ascii="Times New Roman" w:eastAsia="Arial Unicode MS" w:hAnsi="Times New Roman" w:cs="Arial Unicode MS"/>
      <w:b/>
      <w:bCs/>
      <w:color w:val="000000"/>
      <w:sz w:val="36"/>
      <w:szCs w:val="36"/>
      <w:u w:color="000000"/>
      <w:bdr w:val="nil"/>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653"/>
    <w:rPr>
      <w:rFonts w:ascii="Times New Roman" w:eastAsia="Arial Unicode MS" w:hAnsi="Times New Roman" w:cs="Arial Unicode MS"/>
      <w:b/>
      <w:bCs/>
      <w:color w:val="000000"/>
      <w:sz w:val="36"/>
      <w:szCs w:val="36"/>
      <w:u w:color="000000"/>
      <w:bdr w:val="nil"/>
      <w:lang w:eastAsia="lv-LV"/>
    </w:rPr>
  </w:style>
  <w:style w:type="paragraph" w:customStyle="1" w:styleId="Body">
    <w:name w:val="Body"/>
    <w:rsid w:val="0085765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lv-LV"/>
    </w:rPr>
  </w:style>
  <w:style w:type="paragraph" w:styleId="BodyText2">
    <w:name w:val="Body Text 2"/>
    <w:link w:val="BodyText2Char"/>
    <w:rsid w:val="00857653"/>
    <w:pPr>
      <w:pBdr>
        <w:top w:val="nil"/>
        <w:left w:val="nil"/>
        <w:bottom w:val="nil"/>
        <w:right w:val="nil"/>
        <w:between w:val="nil"/>
        <w:bar w:val="nil"/>
      </w:pBdr>
      <w:spacing w:after="0" w:line="240" w:lineRule="auto"/>
      <w:jc w:val="center"/>
    </w:pPr>
    <w:rPr>
      <w:rFonts w:ascii="Times New Roman" w:eastAsia="Times New Roman" w:hAnsi="Times New Roman" w:cs="Times New Roman"/>
      <w:color w:val="000000"/>
      <w:sz w:val="28"/>
      <w:szCs w:val="28"/>
      <w:u w:color="000000"/>
      <w:bdr w:val="nil"/>
      <w:lang w:val="en-US" w:eastAsia="lv-LV"/>
    </w:rPr>
  </w:style>
  <w:style w:type="character" w:customStyle="1" w:styleId="BodyText2Char">
    <w:name w:val="Body Text 2 Char"/>
    <w:basedOn w:val="DefaultParagraphFont"/>
    <w:link w:val="BodyText2"/>
    <w:rsid w:val="00857653"/>
    <w:rPr>
      <w:rFonts w:ascii="Times New Roman" w:eastAsia="Times New Roman" w:hAnsi="Times New Roman" w:cs="Times New Roman"/>
      <w:color w:val="000000"/>
      <w:sz w:val="28"/>
      <w:szCs w:val="28"/>
      <w:u w:color="000000"/>
      <w:bdr w:val="nil"/>
      <w:lang w:val="en-US" w:eastAsia="lv-LV"/>
    </w:rPr>
  </w:style>
  <w:style w:type="table" w:styleId="TableGrid">
    <w:name w:val="Table Grid"/>
    <w:basedOn w:val="TableNormal"/>
    <w:uiPriority w:val="59"/>
    <w:rsid w:val="008576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57653"/>
    <w:rPr>
      <w:rFonts w:ascii="Tahoma" w:hAnsi="Tahoma" w:cs="Tahoma"/>
      <w:sz w:val="16"/>
      <w:szCs w:val="16"/>
    </w:rPr>
  </w:style>
  <w:style w:type="character" w:customStyle="1" w:styleId="BalloonTextChar">
    <w:name w:val="Balloon Text Char"/>
    <w:basedOn w:val="DefaultParagraphFont"/>
    <w:link w:val="BalloonText"/>
    <w:uiPriority w:val="99"/>
    <w:semiHidden/>
    <w:rsid w:val="00857653"/>
    <w:rPr>
      <w:rFonts w:ascii="Tahoma" w:eastAsia="Arial Unicode MS" w:hAnsi="Tahoma" w:cs="Tahoma"/>
      <w:sz w:val="16"/>
      <w:szCs w:val="16"/>
      <w:bdr w:val="nil"/>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1617</Words>
  <Characters>922</Characters>
  <Application>Microsoft Office Word</Application>
  <DocSecurity>0</DocSecurity>
  <Lines>7</Lines>
  <Paragraphs>5</Paragraphs>
  <ScaleCrop>false</ScaleCrop>
  <Company>Grizli777</Company>
  <LinksUpToDate>false</LinksUpToDate>
  <CharactersWithSpaces>2534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2017-02-03T22:51:00Z</dcterms:created>
  <dcterms:modified xsi:type="dcterms:W3CDTF">2017-02-03T22:51:00Z</dcterms:modified>
</cp:coreProperties>
</file>