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49D" w:rsidRDefault="0040449D" w:rsidP="0040449D">
      <w:pPr>
        <w:pStyle w:val="Body"/>
        <w:spacing w:after="0" w:line="240" w:lineRule="auto"/>
        <w:jc w:val="both"/>
        <w:rPr>
          <w:rStyle w:val="None"/>
          <w:rFonts w:ascii="Arial" w:hAnsi="Arial" w:cs="Arial"/>
          <w:sz w:val="24"/>
          <w:szCs w:val="24"/>
          <w:lang w:val="en-US"/>
        </w:rPr>
      </w:pPr>
      <w:r>
        <w:rPr>
          <w:rStyle w:val="None"/>
          <w:rFonts w:ascii="Arial" w:hAnsi="Arial" w:cs="Arial"/>
          <w:sz w:val="24"/>
          <w:szCs w:val="24"/>
          <w:lang w:val="en-US"/>
        </w:rPr>
        <w:t>Katrīna Kārkle, Latvia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258"/>
        <w:gridCol w:w="4258"/>
      </w:tblGrid>
      <w:tr w:rsidR="00500E62" w:rsidTr="00500E62">
        <w:tc>
          <w:tcPr>
            <w:tcW w:w="4258" w:type="dxa"/>
          </w:tcPr>
          <w:p w:rsidR="00500E62" w:rsidRDefault="00500E62" w:rsidP="00500E62">
            <w:pPr>
              <w:pStyle w:val="Body"/>
              <w:jc w:val="center"/>
              <w:rPr>
                <w:rStyle w:val="None"/>
                <w:rFonts w:ascii="Arial" w:hAnsi="Arial" w:cs="Arial"/>
                <w:b/>
                <w:sz w:val="24"/>
                <w:szCs w:val="24"/>
                <w:lang w:val="en-US"/>
              </w:rPr>
            </w:pPr>
          </w:p>
          <w:p w:rsidR="00500E62" w:rsidRDefault="00500E62" w:rsidP="00500E62">
            <w:pPr>
              <w:pStyle w:val="Body"/>
              <w:jc w:val="center"/>
              <w:rPr>
                <w:rStyle w:val="None"/>
                <w:rFonts w:ascii="Arial" w:hAnsi="Arial" w:cs="Arial"/>
                <w:b/>
                <w:sz w:val="24"/>
                <w:szCs w:val="24"/>
                <w:lang w:val="en-US"/>
              </w:rPr>
            </w:pPr>
          </w:p>
          <w:p w:rsidR="00500E62" w:rsidRDefault="00500E62" w:rsidP="00500E62">
            <w:pPr>
              <w:pStyle w:val="Body"/>
              <w:jc w:val="center"/>
              <w:rPr>
                <w:rStyle w:val="None"/>
                <w:rFonts w:ascii="Arial" w:hAnsi="Arial" w:cs="Arial"/>
                <w:b/>
                <w:sz w:val="24"/>
                <w:szCs w:val="24"/>
                <w:lang w:val="en-US"/>
              </w:rPr>
            </w:pPr>
          </w:p>
          <w:p w:rsidR="00500E62" w:rsidRPr="0040449D" w:rsidRDefault="00500E62" w:rsidP="00500E62">
            <w:pPr>
              <w:pStyle w:val="Body"/>
              <w:rPr>
                <w:rStyle w:val="None"/>
                <w:rFonts w:ascii="Arial" w:hAnsi="Arial" w:cs="Arial"/>
                <w:b/>
                <w:sz w:val="24"/>
                <w:szCs w:val="24"/>
                <w:lang w:val="en-US"/>
              </w:rPr>
            </w:pPr>
            <w:r w:rsidRPr="0040449D">
              <w:rPr>
                <w:rStyle w:val="None"/>
                <w:rFonts w:ascii="Arial" w:hAnsi="Arial" w:cs="Arial"/>
                <w:b/>
                <w:sz w:val="24"/>
                <w:szCs w:val="24"/>
                <w:lang w:val="en-US"/>
              </w:rPr>
              <w:t>''Maija Grāfs”(May Count)</w:t>
            </w:r>
          </w:p>
          <w:p w:rsidR="00500E62" w:rsidRDefault="00500E62" w:rsidP="0040449D">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Style w:val="None"/>
                <w:rFonts w:ascii="Arial" w:hAnsi="Arial" w:cs="Arial"/>
                <w:sz w:val="24"/>
                <w:szCs w:val="24"/>
                <w:lang w:val="en-US"/>
              </w:rPr>
            </w:pPr>
          </w:p>
        </w:tc>
        <w:tc>
          <w:tcPr>
            <w:tcW w:w="4258" w:type="dxa"/>
          </w:tcPr>
          <w:p w:rsidR="00500E62" w:rsidRDefault="00500E62" w:rsidP="0040449D">
            <w:pPr>
              <w:pStyle w:val="Body"/>
              <w:pBdr>
                <w:top w:val="none" w:sz="0" w:space="0" w:color="auto"/>
                <w:left w:val="none" w:sz="0" w:space="0" w:color="auto"/>
                <w:bottom w:val="none" w:sz="0" w:space="0" w:color="auto"/>
                <w:right w:val="none" w:sz="0" w:space="0" w:color="auto"/>
                <w:between w:val="none" w:sz="0" w:space="0" w:color="auto"/>
                <w:bar w:val="none" w:sz="0" w:color="auto"/>
              </w:pBdr>
              <w:jc w:val="both"/>
              <w:rPr>
                <w:rStyle w:val="None"/>
                <w:rFonts w:ascii="Arial" w:hAnsi="Arial" w:cs="Arial"/>
                <w:sz w:val="24"/>
                <w:szCs w:val="24"/>
                <w:lang w:val="en-US"/>
              </w:rPr>
            </w:pPr>
            <w:r>
              <w:rPr>
                <w:noProof/>
                <w:lang w:val="lv-LV"/>
              </w:rPr>
              <w:drawing>
                <wp:inline distT="0" distB="0" distL="0" distR="0">
                  <wp:extent cx="1674954" cy="1114425"/>
                  <wp:effectExtent l="19050" t="0" r="1446" b="0"/>
                  <wp:docPr id="6" name="Picture 1" descr="Image result for maija gr&amp;amacr;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aija gr&amp;amacr;fs"/>
                          <pic:cNvPicPr>
                            <a:picLocks noChangeAspect="1" noChangeArrowheads="1"/>
                          </pic:cNvPicPr>
                        </pic:nvPicPr>
                        <pic:blipFill>
                          <a:blip r:embed="rId6" cstate="print"/>
                          <a:srcRect/>
                          <a:stretch>
                            <a:fillRect/>
                          </a:stretch>
                        </pic:blipFill>
                        <pic:spPr bwMode="auto">
                          <a:xfrm>
                            <a:off x="0" y="0"/>
                            <a:ext cx="1674954" cy="1114425"/>
                          </a:xfrm>
                          <a:prstGeom prst="rect">
                            <a:avLst/>
                          </a:prstGeom>
                          <a:noFill/>
                          <a:ln w="9525">
                            <a:noFill/>
                            <a:miter lim="800000"/>
                            <a:headEnd/>
                            <a:tailEnd/>
                          </a:ln>
                        </pic:spPr>
                      </pic:pic>
                    </a:graphicData>
                  </a:graphic>
                </wp:inline>
              </w:drawing>
            </w:r>
          </w:p>
        </w:tc>
      </w:tr>
    </w:tbl>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''Maija Grāfs”(May Count) is a symbol of spring and this festival symbolizes the victory of spring over winter.</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 xml:space="preserve">“Maija Grāfs” festival celebration in Riga began in the 14th century. And they were celebrated on </w:t>
      </w:r>
      <w:r w:rsidRPr="00BB3522">
        <w:rPr>
          <w:rStyle w:val="None"/>
          <w:rFonts w:ascii="Arial" w:hAnsi="Arial" w:cs="Arial"/>
          <w:sz w:val="24"/>
          <w:szCs w:val="24"/>
          <w:lang w:val="it-IT"/>
        </w:rPr>
        <w:t>April 30</w:t>
      </w:r>
      <w:r w:rsidRPr="00BB3522">
        <w:rPr>
          <w:rStyle w:val="None"/>
          <w:rFonts w:ascii="Arial" w:hAnsi="Arial" w:cs="Arial"/>
          <w:sz w:val="24"/>
          <w:szCs w:val="24"/>
          <w:lang w:val="en-US"/>
        </w:rPr>
        <w:t>th and May 1st.</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fr-FR"/>
        </w:rPr>
        <w:t xml:space="preserve">Festival traditions </w:t>
      </w:r>
      <w:r w:rsidRPr="00BB3522">
        <w:rPr>
          <w:rStyle w:val="None"/>
          <w:rFonts w:ascii="Arial" w:hAnsi="Arial" w:cs="Arial"/>
          <w:sz w:val="24"/>
          <w:szCs w:val="24"/>
          <w:lang w:val="en-US"/>
        </w:rPr>
        <w:t>were taken from Central Europe and they didn't have anything to do with Christian beliefs.</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Many years ago the festival was called “</w:t>
      </w:r>
      <w:r w:rsidRPr="00BB3522">
        <w:rPr>
          <w:rStyle w:val="None"/>
          <w:rFonts w:ascii="Arial" w:hAnsi="Arial" w:cs="Arial"/>
          <w:sz w:val="24"/>
          <w:szCs w:val="24"/>
          <w:lang w:val="pt-PT"/>
        </w:rPr>
        <w:t>Pagan</w:t>
      </w:r>
      <w:r w:rsidRPr="00BB3522">
        <w:rPr>
          <w:rStyle w:val="None"/>
          <w:rFonts w:ascii="Arial" w:hAnsi="Arial" w:cs="Arial"/>
          <w:sz w:val="24"/>
          <w:szCs w:val="24"/>
          <w:lang w:val="en-US"/>
        </w:rPr>
        <w:t xml:space="preserve">” </w:t>
      </w:r>
      <w:r w:rsidRPr="00BB3522">
        <w:rPr>
          <w:rStyle w:val="None"/>
          <w:rFonts w:ascii="Arial" w:hAnsi="Arial" w:cs="Arial"/>
          <w:sz w:val="24"/>
          <w:szCs w:val="24"/>
          <w:lang w:val="it-IT"/>
        </w:rPr>
        <w:t>German</w:t>
      </w:r>
      <w:r w:rsidRPr="00BB3522">
        <w:rPr>
          <w:rStyle w:val="None"/>
          <w:rFonts w:ascii="Arial" w:hAnsi="Arial" w:cs="Arial"/>
          <w:sz w:val="24"/>
          <w:szCs w:val="24"/>
          <w:lang w:val="en-US"/>
        </w:rPr>
        <w:t xml:space="preserve"> Spring festival which was celebrated at night on May 1st. This festival in Medieval towns was turned into a military celebration in which citizens showed they were ready to defend their city.</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The most important organizers were</w:t>
      </w:r>
      <w:r w:rsidRPr="00BB3522">
        <w:rPr>
          <w:rStyle w:val="None"/>
          <w:rFonts w:ascii="Arial" w:hAnsi="Arial" w:cs="Arial"/>
          <w:sz w:val="24"/>
          <w:szCs w:val="24"/>
          <w:lang w:val="pt-PT"/>
        </w:rPr>
        <w:t xml:space="preserve"> “</w:t>
      </w:r>
      <w:r w:rsidRPr="00BB3522">
        <w:rPr>
          <w:rStyle w:val="None"/>
          <w:rFonts w:ascii="Arial" w:hAnsi="Arial" w:cs="Arial"/>
          <w:sz w:val="24"/>
          <w:szCs w:val="24"/>
          <w:lang w:val="en-US"/>
        </w:rPr>
        <w:t xml:space="preserve">melngalviji – blackheads” and “Lielā ģilde – Great Guild”. </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 xml:space="preserve">The festival began with a </w:t>
      </w:r>
      <w:r w:rsidRPr="00BB3522">
        <w:rPr>
          <w:rStyle w:val="None"/>
          <w:rFonts w:ascii="Arial" w:hAnsi="Arial" w:cs="Arial"/>
          <w:sz w:val="24"/>
          <w:szCs w:val="24"/>
          <w:lang w:val="pt-PT"/>
        </w:rPr>
        <w:t xml:space="preserve">parade </w:t>
      </w:r>
      <w:r w:rsidRPr="00BB3522">
        <w:rPr>
          <w:rStyle w:val="None"/>
          <w:rFonts w:ascii="Arial" w:hAnsi="Arial" w:cs="Arial"/>
          <w:sz w:val="24"/>
          <w:szCs w:val="24"/>
          <w:lang w:val="en-US"/>
        </w:rPr>
        <w:t>of horses and then followed by the war games and competitions of the knights.</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Participants showed that they were ready to defend the city against invaders and they tried to strengthen the militant spirit of the other people. According to an old tradition, “Maija Grāfs”- May Count (Grāfs) is chosen from young men- the knight that won in the competition is recognized as the best defender of the city. The winner gets the title of Grāfs for one year and then he can choose his May Countess (Grāfieni, wife).</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 xml:space="preserve">On the 1st of  May the young man goes to his bride's home and there he puts some green twigs and decorates them with colourful ribbons, wreaths and gifts. </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The one who could to spear through three wreaths at once which were placed on a rope between two poles became the May Grāfs. One of the three wreaths stayed with winner, the second wreath was given to the Great Guild chief and the third to May Count (Grāfs) lady.</w:t>
      </w:r>
    </w:p>
    <w:p w:rsidR="0040449D" w:rsidRPr="00BB3522" w:rsidRDefault="0040449D" w:rsidP="0040449D">
      <w:pPr>
        <w:pStyle w:val="Body"/>
        <w:spacing w:after="0" w:line="240" w:lineRule="auto"/>
        <w:jc w:val="both"/>
        <w:rPr>
          <w:rStyle w:val="None"/>
          <w:rFonts w:ascii="Arial" w:eastAsia="Times New Roman" w:hAnsi="Arial" w:cs="Arial"/>
          <w:sz w:val="24"/>
          <w:szCs w:val="24"/>
          <w:lang w:val="en-US"/>
        </w:rPr>
      </w:pPr>
      <w:r w:rsidRPr="00BB3522">
        <w:rPr>
          <w:rStyle w:val="None"/>
          <w:rFonts w:ascii="Arial" w:hAnsi="Arial" w:cs="Arial"/>
          <w:sz w:val="24"/>
          <w:szCs w:val="24"/>
          <w:lang w:val="en-US"/>
        </w:rPr>
        <w:t xml:space="preserve">There was </w:t>
      </w:r>
      <w:r>
        <w:rPr>
          <w:rStyle w:val="None"/>
          <w:rFonts w:ascii="Arial" w:hAnsi="Arial" w:cs="Arial"/>
          <w:sz w:val="24"/>
          <w:szCs w:val="24"/>
          <w:lang w:val="en-US"/>
        </w:rPr>
        <w:t xml:space="preserve">a </w:t>
      </w:r>
      <w:r w:rsidRPr="00BB3522">
        <w:rPr>
          <w:rStyle w:val="None"/>
          <w:rFonts w:ascii="Arial" w:hAnsi="Arial" w:cs="Arial"/>
          <w:sz w:val="24"/>
          <w:szCs w:val="24"/>
          <w:lang w:val="en-US"/>
        </w:rPr>
        <w:t>feast and dances in the second part of the festival, which was accompanied by drums and trumpets.</w:t>
      </w:r>
    </w:p>
    <w:p w:rsidR="0040449D" w:rsidRPr="00BB3522" w:rsidRDefault="0040449D" w:rsidP="0040449D">
      <w:pPr>
        <w:pStyle w:val="Body"/>
        <w:spacing w:after="0" w:line="240" w:lineRule="auto"/>
        <w:jc w:val="both"/>
        <w:rPr>
          <w:rStyle w:val="None"/>
          <w:rFonts w:ascii="Arial" w:hAnsi="Arial" w:cs="Arial"/>
          <w:sz w:val="24"/>
          <w:szCs w:val="24"/>
          <w:lang w:val="it-IT"/>
        </w:rPr>
      </w:pPr>
      <w:r w:rsidRPr="00BB3522">
        <w:rPr>
          <w:rStyle w:val="None"/>
          <w:rFonts w:ascii="Arial" w:hAnsi="Arial" w:cs="Arial"/>
          <w:sz w:val="24"/>
          <w:szCs w:val="24"/>
          <w:lang w:val="en-US"/>
        </w:rPr>
        <w:t>In the Middle Ages the festival was celebrated in 1542 for the last time but in 2001 The company “Rīgas nami” resumed to hold the “Maija Grāfs” celebrations, to pay attention to spring and love. During the celebration various events took place like</w:t>
      </w:r>
      <w:r w:rsidRPr="00BB3522">
        <w:rPr>
          <w:rStyle w:val="None"/>
          <w:rFonts w:ascii="Arial" w:hAnsi="Arial" w:cs="Arial"/>
          <w:sz w:val="24"/>
          <w:szCs w:val="24"/>
          <w:lang w:val="pt-PT"/>
        </w:rPr>
        <w:t>: the craft fair and ancient crafts demostrations, knight tournaments, barrel rolling races, dual</w:t>
      </w:r>
      <w:r w:rsidRPr="00BB3522">
        <w:rPr>
          <w:rStyle w:val="None"/>
          <w:rFonts w:ascii="Arial" w:hAnsi="Arial" w:cs="Arial"/>
          <w:sz w:val="24"/>
          <w:szCs w:val="24"/>
          <w:lang w:val="en-US"/>
        </w:rPr>
        <w:t xml:space="preserve">s with bags on a beam. The festival cannot be imagined without bright ancient costumes, a </w:t>
      </w:r>
      <w:r w:rsidRPr="00BB3522">
        <w:rPr>
          <w:rStyle w:val="None"/>
          <w:rFonts w:ascii="Arial" w:hAnsi="Arial" w:cs="Arial"/>
          <w:sz w:val="24"/>
          <w:szCs w:val="24"/>
          <w:lang w:val="it-IT"/>
        </w:rPr>
        <w:t>carn</w:t>
      </w:r>
      <w:r w:rsidRPr="00BB3522">
        <w:rPr>
          <w:rStyle w:val="None"/>
          <w:rFonts w:ascii="Arial" w:hAnsi="Arial" w:cs="Arial"/>
          <w:sz w:val="24"/>
          <w:szCs w:val="24"/>
          <w:lang w:val="en-US"/>
        </w:rPr>
        <w:t>ival and concerts. But nowadays if you want to be the May Count (Grāfs) you have to do some tasks like: write poetry about your lady, you have to split a cabbage in half with a sword, hold your lady in your arms and of course shoot with a bow and an arrow.</w:t>
      </w:r>
      <w:r w:rsidRPr="00BB3522">
        <w:rPr>
          <w:rStyle w:val="None"/>
          <w:rFonts w:ascii="Arial" w:hAnsi="Arial" w:cs="Arial"/>
          <w:sz w:val="24"/>
          <w:szCs w:val="24"/>
          <w:lang w:val="it-IT"/>
        </w:rPr>
        <w:t xml:space="preserve"> </w:t>
      </w:r>
    </w:p>
    <w:p w:rsidR="0040449D" w:rsidRPr="0040449D" w:rsidRDefault="0040449D" w:rsidP="0040449D">
      <w:pPr>
        <w:pStyle w:val="Body"/>
        <w:spacing w:after="0" w:line="240" w:lineRule="auto"/>
        <w:jc w:val="both"/>
        <w:rPr>
          <w:rStyle w:val="None"/>
          <w:rFonts w:ascii="Arial" w:hAnsi="Arial" w:cs="Arial"/>
          <w:b/>
          <w:sz w:val="24"/>
          <w:szCs w:val="24"/>
          <w:lang w:val="it-IT"/>
        </w:rPr>
      </w:pPr>
      <w:r w:rsidRPr="0040449D">
        <w:rPr>
          <w:rStyle w:val="None"/>
          <w:rFonts w:ascii="Arial" w:hAnsi="Arial" w:cs="Arial"/>
          <w:b/>
          <w:sz w:val="24"/>
          <w:szCs w:val="24"/>
          <w:lang w:val="it-IT"/>
        </w:rPr>
        <w:t>References:</w:t>
      </w:r>
    </w:p>
    <w:p w:rsidR="0040449D" w:rsidRPr="00BB3522" w:rsidRDefault="0040449D" w:rsidP="0040449D">
      <w:pPr>
        <w:pStyle w:val="Body"/>
        <w:spacing w:after="0" w:line="240" w:lineRule="auto"/>
        <w:jc w:val="both"/>
        <w:rPr>
          <w:rStyle w:val="None"/>
          <w:rFonts w:ascii="Arial" w:eastAsia="Times New Roman" w:hAnsi="Arial" w:cs="Arial"/>
          <w:sz w:val="24"/>
          <w:szCs w:val="24"/>
        </w:rPr>
      </w:pPr>
      <w:r w:rsidRPr="00BB3522">
        <w:rPr>
          <w:rStyle w:val="None"/>
          <w:rFonts w:ascii="Arial" w:hAnsi="Arial" w:cs="Arial"/>
          <w:sz w:val="24"/>
          <w:szCs w:val="24"/>
          <w:lang w:val="it-IT"/>
        </w:rPr>
        <w:t>Straubergs J. Rī</w:t>
      </w:r>
      <w:r w:rsidRPr="00BB3522">
        <w:rPr>
          <w:rStyle w:val="None"/>
          <w:rFonts w:ascii="Arial" w:hAnsi="Arial" w:cs="Arial"/>
          <w:sz w:val="24"/>
          <w:szCs w:val="24"/>
          <w:lang w:val="es-ES_tradnl"/>
        </w:rPr>
        <w:t>gas v</w:t>
      </w:r>
      <w:r w:rsidRPr="00BB3522">
        <w:rPr>
          <w:rStyle w:val="None"/>
          <w:rFonts w:ascii="Arial" w:hAnsi="Arial" w:cs="Arial"/>
          <w:sz w:val="24"/>
          <w:szCs w:val="24"/>
          <w:lang w:val="it-IT"/>
        </w:rPr>
        <w:t xml:space="preserve">ēsture. – Ņujorka, “Grāmatu Draugs”, 1954. </w:t>
      </w:r>
      <w:r w:rsidRPr="00BB3522">
        <w:rPr>
          <w:rStyle w:val="None"/>
          <w:rFonts w:ascii="Arial" w:hAnsi="Arial" w:cs="Arial"/>
          <w:sz w:val="24"/>
          <w:szCs w:val="24"/>
        </w:rPr>
        <w:t>176. lpp.</w:t>
      </w:r>
    </w:p>
    <w:p w:rsidR="0040449D" w:rsidRPr="00BB3522" w:rsidRDefault="0040449D" w:rsidP="0040449D">
      <w:pPr>
        <w:pStyle w:val="Body"/>
        <w:spacing w:after="0" w:line="240" w:lineRule="auto"/>
        <w:jc w:val="both"/>
        <w:rPr>
          <w:rStyle w:val="None"/>
          <w:rFonts w:ascii="Arial" w:eastAsia="Times New Roman" w:hAnsi="Arial" w:cs="Arial"/>
          <w:sz w:val="24"/>
          <w:szCs w:val="24"/>
        </w:rPr>
      </w:pPr>
      <w:r w:rsidRPr="00BB3522">
        <w:rPr>
          <w:rStyle w:val="None"/>
          <w:rFonts w:ascii="Arial" w:hAnsi="Arial" w:cs="Arial"/>
          <w:sz w:val="24"/>
          <w:szCs w:val="24"/>
          <w:lang w:val="it-IT"/>
        </w:rPr>
        <w:t>Indri</w:t>
      </w:r>
      <w:r w:rsidRPr="00BB3522">
        <w:rPr>
          <w:rStyle w:val="None"/>
          <w:rFonts w:ascii="Arial" w:hAnsi="Arial" w:cs="Arial"/>
          <w:sz w:val="24"/>
          <w:szCs w:val="24"/>
        </w:rPr>
        <w:t>ķa hronika, IX; 14. – R., 1993. 81. lpp.</w:t>
      </w:r>
    </w:p>
    <w:p w:rsidR="0040449D" w:rsidRPr="0040449D" w:rsidRDefault="0040449D" w:rsidP="0040449D">
      <w:pPr>
        <w:pStyle w:val="Body"/>
        <w:spacing w:after="0" w:line="240" w:lineRule="auto"/>
        <w:jc w:val="both"/>
        <w:rPr>
          <w:rFonts w:ascii="Arial" w:eastAsia="Times New Roman" w:hAnsi="Arial" w:cs="Arial"/>
          <w:sz w:val="24"/>
          <w:szCs w:val="24"/>
        </w:rPr>
      </w:pPr>
      <w:hyperlink r:id="rId7" w:history="1">
        <w:r w:rsidRPr="00BB3522">
          <w:rPr>
            <w:rStyle w:val="Hyperlink0"/>
            <w:rFonts w:ascii="Arial" w:hAnsi="Arial" w:cs="Arial"/>
            <w:sz w:val="24"/>
            <w:szCs w:val="24"/>
          </w:rPr>
          <w:t>https://www.youtube.com/watch?v=h7Ba7mxZ6xsss</w:t>
        </w:r>
      </w:hyperlink>
    </w:p>
    <w:p w:rsidR="001A671C" w:rsidRPr="00500E62" w:rsidRDefault="0040449D" w:rsidP="00500E62">
      <w:pPr>
        <w:pStyle w:val="Body"/>
        <w:jc w:val="both"/>
        <w:rPr>
          <w:rFonts w:ascii="Arial" w:hAnsi="Arial" w:cs="Arial"/>
          <w:sz w:val="24"/>
          <w:szCs w:val="24"/>
        </w:rPr>
      </w:pPr>
      <w:hyperlink r:id="rId8" w:history="1">
        <w:r w:rsidRPr="00BB3522">
          <w:rPr>
            <w:rStyle w:val="Hyperlink0"/>
            <w:rFonts w:ascii="Arial" w:hAnsi="Arial" w:cs="Arial"/>
            <w:sz w:val="24"/>
            <w:szCs w:val="24"/>
          </w:rPr>
          <w:t>h</w:t>
        </w:r>
        <w:r w:rsidRPr="00BB3522">
          <w:rPr>
            <w:rStyle w:val="Hyperlink0"/>
            <w:rFonts w:ascii="Arial" w:hAnsi="Arial" w:cs="Arial"/>
            <w:sz w:val="24"/>
            <w:szCs w:val="24"/>
          </w:rPr>
          <w:t>t</w:t>
        </w:r>
        <w:r w:rsidRPr="00BB3522">
          <w:rPr>
            <w:rStyle w:val="Hyperlink0"/>
            <w:rFonts w:ascii="Arial" w:hAnsi="Arial" w:cs="Arial"/>
            <w:sz w:val="24"/>
            <w:szCs w:val="24"/>
          </w:rPr>
          <w:t>tps://www.youtube.com/watch?v=m2TJEZqzAoo</w:t>
        </w:r>
      </w:hyperlink>
    </w:p>
    <w:sectPr w:rsidR="001A671C" w:rsidRPr="00500E62" w:rsidSect="0040449D">
      <w:headerReference w:type="default" r:id="rId9"/>
      <w:pgSz w:w="11900" w:h="16840"/>
      <w:pgMar w:top="426" w:right="1800" w:bottom="426" w:left="1800" w:header="447"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2F3A" w:rsidRDefault="00F62F3A" w:rsidP="0040449D">
      <w:r>
        <w:separator/>
      </w:r>
    </w:p>
  </w:endnote>
  <w:endnote w:type="continuationSeparator" w:id="0">
    <w:p w:rsidR="00F62F3A" w:rsidRDefault="00F62F3A" w:rsidP="004044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BA"/>
    <w:family w:val="swiss"/>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2F3A" w:rsidRDefault="00F62F3A" w:rsidP="0040449D">
      <w:r>
        <w:separator/>
      </w:r>
    </w:p>
  </w:footnote>
  <w:footnote w:type="continuationSeparator" w:id="0">
    <w:p w:rsidR="00F62F3A" w:rsidRDefault="00F62F3A" w:rsidP="004044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6"/>
      <w:gridCol w:w="2654"/>
      <w:gridCol w:w="2706"/>
    </w:tblGrid>
    <w:tr w:rsidR="0040449D" w:rsidTr="00453B84">
      <w:trPr>
        <w:trHeight w:val="422"/>
      </w:trPr>
      <w:tc>
        <w:tcPr>
          <w:tcW w:w="3156" w:type="dxa"/>
        </w:tcPr>
        <w:p w:rsidR="0040449D" w:rsidRDefault="0040449D" w:rsidP="00453B84">
          <w:pPr>
            <w:jc w:val="both"/>
            <w:rPr>
              <w:noProof/>
              <w:lang w:eastAsia="lv-LV"/>
            </w:rPr>
          </w:pPr>
        </w:p>
        <w:p w:rsidR="0040449D" w:rsidRDefault="0040449D" w:rsidP="00453B84">
          <w:pPr>
            <w:jc w:val="both"/>
          </w:pPr>
          <w:r w:rsidRPr="00354A57">
            <w:rPr>
              <w:noProof/>
              <w:lang w:val="lv-LV" w:eastAsia="lv-LV"/>
            </w:rPr>
            <w:drawing>
              <wp:inline distT="0" distB="0" distL="0" distR="0">
                <wp:extent cx="1841648" cy="510362"/>
                <wp:effectExtent l="19050" t="0" r="6202"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1841792" cy="510402"/>
                        </a:xfrm>
                        <a:prstGeom prst="rect">
                          <a:avLst/>
                        </a:prstGeom>
                        <a:noFill/>
                        <a:ln w="9525">
                          <a:noFill/>
                          <a:miter lim="800000"/>
                          <a:headEnd/>
                          <a:tailEnd/>
                        </a:ln>
                      </pic:spPr>
                    </pic:pic>
                  </a:graphicData>
                </a:graphic>
              </wp:inline>
            </w:drawing>
          </w:r>
        </w:p>
      </w:tc>
      <w:tc>
        <w:tcPr>
          <w:tcW w:w="2654" w:type="dxa"/>
        </w:tcPr>
        <w:p w:rsidR="0040449D" w:rsidRDefault="0040449D" w:rsidP="00453B84">
          <w:pPr>
            <w:jc w:val="both"/>
            <w:rPr>
              <w:b/>
              <w:bCs/>
              <w:sz w:val="23"/>
              <w:szCs w:val="23"/>
              <w:lang w:val="en-GB"/>
            </w:rPr>
          </w:pPr>
        </w:p>
        <w:p w:rsidR="0040449D" w:rsidRPr="00BB3522" w:rsidRDefault="0040449D" w:rsidP="00453B84">
          <w:pPr>
            <w:jc w:val="center"/>
            <w:rPr>
              <w:rFonts w:ascii="Arial" w:hAnsi="Arial" w:cs="Arial"/>
              <w:b/>
              <w:bCs/>
              <w:sz w:val="18"/>
              <w:szCs w:val="18"/>
              <w:lang w:val="en-GB"/>
            </w:rPr>
          </w:pPr>
          <w:r w:rsidRPr="00BB3522">
            <w:rPr>
              <w:rFonts w:ascii="Arial" w:hAnsi="Arial" w:cs="Arial"/>
              <w:b/>
              <w:bCs/>
              <w:sz w:val="18"/>
              <w:szCs w:val="18"/>
              <w:lang w:val="en-GB"/>
            </w:rPr>
            <w:t>“GREAT ROUTES IN THE MIDDLE AGE AND THEIR SYMBOLOGY”</w:t>
          </w:r>
        </w:p>
        <w:p w:rsidR="0040449D" w:rsidRDefault="0040449D" w:rsidP="00453B84">
          <w:pPr>
            <w:jc w:val="center"/>
          </w:pPr>
          <w:r w:rsidRPr="00BB3522">
            <w:rPr>
              <w:rFonts w:ascii="Arial" w:hAnsi="Arial" w:cs="Arial"/>
              <w:b/>
              <w:bCs/>
              <w:sz w:val="18"/>
              <w:szCs w:val="18"/>
              <w:lang w:val="en-GB"/>
            </w:rPr>
            <w:t>Nr. 2016-1-ES01-KA219-025035_3</w:t>
          </w:r>
        </w:p>
      </w:tc>
      <w:tc>
        <w:tcPr>
          <w:tcW w:w="2706" w:type="dxa"/>
        </w:tcPr>
        <w:p w:rsidR="0040449D" w:rsidRDefault="0040449D" w:rsidP="00453B84">
          <w:pPr>
            <w:jc w:val="both"/>
          </w:pPr>
          <w:r>
            <w:rPr>
              <w:noProof/>
              <w:lang w:val="lv-LV" w:eastAsia="lv-LV"/>
            </w:rPr>
            <w:drawing>
              <wp:inline distT="0" distB="0" distL="0" distR="0">
                <wp:extent cx="893445" cy="893445"/>
                <wp:effectExtent l="19050" t="0" r="1905" b="0"/>
                <wp:docPr id="8" name="Picture 1" descr="Erasmus Middle Routes profila bil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smus Middle Routes profila bilde"/>
                        <pic:cNvPicPr>
                          <a:picLocks noChangeAspect="1" noChangeArrowheads="1"/>
                        </pic:cNvPicPr>
                      </pic:nvPicPr>
                      <pic:blipFill>
                        <a:blip r:embed="rId2" cstate="print"/>
                        <a:srcRect/>
                        <a:stretch>
                          <a:fillRect/>
                        </a:stretch>
                      </pic:blipFill>
                      <pic:spPr bwMode="auto">
                        <a:xfrm>
                          <a:off x="0" y="0"/>
                          <a:ext cx="893790" cy="893790"/>
                        </a:xfrm>
                        <a:prstGeom prst="rect">
                          <a:avLst/>
                        </a:prstGeom>
                        <a:noFill/>
                        <a:ln w="9525">
                          <a:noFill/>
                          <a:miter lim="800000"/>
                          <a:headEnd/>
                          <a:tailEnd/>
                        </a:ln>
                      </pic:spPr>
                    </pic:pic>
                  </a:graphicData>
                </a:graphic>
              </wp:inline>
            </w:drawing>
          </w:r>
        </w:p>
      </w:tc>
    </w:tr>
  </w:tbl>
  <w:p w:rsidR="001409BF" w:rsidRDefault="00F62F3A">
    <w:pPr>
      <w:pStyle w:val="HeaderFoot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40449D"/>
    <w:rsid w:val="001A671C"/>
    <w:rsid w:val="0040449D"/>
    <w:rsid w:val="00500E62"/>
    <w:rsid w:val="00F62F3A"/>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0449D"/>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40449D"/>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lv-LV"/>
    </w:rPr>
  </w:style>
  <w:style w:type="paragraph" w:customStyle="1" w:styleId="Body">
    <w:name w:val="Body"/>
    <w:rsid w:val="0040449D"/>
    <w:pPr>
      <w:pBdr>
        <w:top w:val="nil"/>
        <w:left w:val="nil"/>
        <w:bottom w:val="nil"/>
        <w:right w:val="nil"/>
        <w:between w:val="nil"/>
        <w:bar w:val="nil"/>
      </w:pBdr>
    </w:pPr>
    <w:rPr>
      <w:rFonts w:ascii="Calibri" w:eastAsia="Calibri" w:hAnsi="Calibri" w:cs="Calibri"/>
      <w:color w:val="000000"/>
      <w:u w:color="000000"/>
      <w:bdr w:val="nil"/>
      <w:lang w:val="de-DE" w:eastAsia="lv-LV"/>
    </w:rPr>
  </w:style>
  <w:style w:type="character" w:customStyle="1" w:styleId="None">
    <w:name w:val="None"/>
    <w:rsid w:val="0040449D"/>
  </w:style>
  <w:style w:type="character" w:customStyle="1" w:styleId="Hyperlink0">
    <w:name w:val="Hyperlink.0"/>
    <w:basedOn w:val="None"/>
    <w:rsid w:val="0040449D"/>
    <w:rPr>
      <w:color w:val="0000FF"/>
      <w:u w:val="single" w:color="0000FF"/>
    </w:rPr>
  </w:style>
  <w:style w:type="table" w:styleId="TableGrid">
    <w:name w:val="Table Grid"/>
    <w:basedOn w:val="TableNormal"/>
    <w:uiPriority w:val="59"/>
    <w:rsid w:val="0040449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0449D"/>
    <w:rPr>
      <w:rFonts w:ascii="Tahoma" w:hAnsi="Tahoma" w:cs="Tahoma"/>
      <w:sz w:val="16"/>
      <w:szCs w:val="16"/>
    </w:rPr>
  </w:style>
  <w:style w:type="character" w:customStyle="1" w:styleId="BalloonTextChar">
    <w:name w:val="Balloon Text Char"/>
    <w:basedOn w:val="DefaultParagraphFont"/>
    <w:link w:val="BalloonText"/>
    <w:uiPriority w:val="99"/>
    <w:semiHidden/>
    <w:rsid w:val="0040449D"/>
    <w:rPr>
      <w:rFonts w:ascii="Tahoma" w:eastAsia="Arial Unicode MS" w:hAnsi="Tahoma" w:cs="Tahoma"/>
      <w:sz w:val="16"/>
      <w:szCs w:val="16"/>
      <w:bdr w:val="nil"/>
      <w:lang w:val="en-US"/>
    </w:rPr>
  </w:style>
  <w:style w:type="paragraph" w:styleId="Header">
    <w:name w:val="header"/>
    <w:basedOn w:val="Normal"/>
    <w:link w:val="HeaderChar"/>
    <w:uiPriority w:val="99"/>
    <w:semiHidden/>
    <w:unhideWhenUsed/>
    <w:rsid w:val="0040449D"/>
    <w:pPr>
      <w:tabs>
        <w:tab w:val="center" w:pos="4153"/>
        <w:tab w:val="right" w:pos="8306"/>
      </w:tabs>
    </w:pPr>
  </w:style>
  <w:style w:type="character" w:customStyle="1" w:styleId="HeaderChar">
    <w:name w:val="Header Char"/>
    <w:basedOn w:val="DefaultParagraphFont"/>
    <w:link w:val="Header"/>
    <w:uiPriority w:val="99"/>
    <w:semiHidden/>
    <w:rsid w:val="0040449D"/>
    <w:rPr>
      <w:rFonts w:ascii="Times New Roman" w:eastAsia="Arial Unicode MS" w:hAnsi="Times New Roman" w:cs="Times New Roman"/>
      <w:sz w:val="24"/>
      <w:szCs w:val="24"/>
      <w:bdr w:val="nil"/>
      <w:lang w:val="en-US"/>
    </w:rPr>
  </w:style>
  <w:style w:type="paragraph" w:styleId="Footer">
    <w:name w:val="footer"/>
    <w:basedOn w:val="Normal"/>
    <w:link w:val="FooterChar"/>
    <w:uiPriority w:val="99"/>
    <w:semiHidden/>
    <w:unhideWhenUsed/>
    <w:rsid w:val="0040449D"/>
    <w:pPr>
      <w:tabs>
        <w:tab w:val="center" w:pos="4153"/>
        <w:tab w:val="right" w:pos="8306"/>
      </w:tabs>
    </w:pPr>
  </w:style>
  <w:style w:type="character" w:customStyle="1" w:styleId="FooterChar">
    <w:name w:val="Footer Char"/>
    <w:basedOn w:val="DefaultParagraphFont"/>
    <w:link w:val="Footer"/>
    <w:uiPriority w:val="99"/>
    <w:semiHidden/>
    <w:rsid w:val="0040449D"/>
    <w:rPr>
      <w:rFonts w:ascii="Times New Roman" w:eastAsia="Arial Unicode MS" w:hAnsi="Times New Roman" w:cs="Times New Roman"/>
      <w:sz w:val="24"/>
      <w:szCs w:val="24"/>
      <w:bdr w:val="nil"/>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m2TJEZqzAoo" TargetMode="External"/><Relationship Id="rId3" Type="http://schemas.openxmlformats.org/officeDocument/2006/relationships/webSettings" Target="webSettings.xml"/><Relationship Id="rId7" Type="http://schemas.openxmlformats.org/officeDocument/2006/relationships/hyperlink" Target="https://www.youtube.com/watch?v=h7Ba7mxZ6xss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1815</Words>
  <Characters>1036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2017-02-05T10:00:00Z</dcterms:created>
  <dcterms:modified xsi:type="dcterms:W3CDTF">2017-02-05T10:23:00Z</dcterms:modified>
</cp:coreProperties>
</file>