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60" w:type="dxa"/>
        <w:jc w:val="center"/>
        <w:tblInd w:w="-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30"/>
        <w:gridCol w:w="2867"/>
        <w:gridCol w:w="2340"/>
        <w:gridCol w:w="2623"/>
      </w:tblGrid>
      <w:tr w:rsidR="006572CD" w:rsidRPr="00BF4EF4" w:rsidTr="00A72E9D">
        <w:trPr>
          <w:jc w:val="center"/>
        </w:trPr>
        <w:tc>
          <w:tcPr>
            <w:tcW w:w="2430" w:type="dxa"/>
          </w:tcPr>
          <w:p w:rsidR="006572CD" w:rsidRPr="006572CD" w:rsidRDefault="006572CD" w:rsidP="00A72E9D">
            <w:pPr>
              <w:rPr>
                <w:sz w:val="24"/>
                <w:szCs w:val="24"/>
              </w:rPr>
            </w:pPr>
            <w:r w:rsidRPr="006572CD">
              <w:rPr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90625" cy="625321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538" cy="624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67" w:type="dxa"/>
          </w:tcPr>
          <w:p w:rsidR="006572CD" w:rsidRPr="006572CD" w:rsidRDefault="006572CD" w:rsidP="00A72E9D">
            <w:pPr>
              <w:jc w:val="center"/>
              <w:rPr>
                <w:sz w:val="16"/>
                <w:szCs w:val="16"/>
              </w:rPr>
            </w:pPr>
            <w:r w:rsidRPr="006572CD">
              <w:rPr>
                <w:sz w:val="16"/>
                <w:szCs w:val="16"/>
              </w:rPr>
              <w:t>ES Mūžizglītības programmas</w:t>
            </w:r>
          </w:p>
          <w:p w:rsidR="006572CD" w:rsidRPr="006572CD" w:rsidRDefault="006572CD" w:rsidP="00A72E9D">
            <w:pPr>
              <w:jc w:val="center"/>
              <w:rPr>
                <w:sz w:val="16"/>
                <w:szCs w:val="16"/>
              </w:rPr>
            </w:pPr>
            <w:proofErr w:type="spellStart"/>
            <w:r w:rsidRPr="006572CD">
              <w:rPr>
                <w:sz w:val="16"/>
                <w:szCs w:val="16"/>
              </w:rPr>
              <w:t>Comenius</w:t>
            </w:r>
            <w:proofErr w:type="spellEnd"/>
            <w:r w:rsidRPr="006572CD">
              <w:rPr>
                <w:sz w:val="16"/>
                <w:szCs w:val="16"/>
              </w:rPr>
              <w:t xml:space="preserve"> apakšprogrammas</w:t>
            </w:r>
          </w:p>
          <w:p w:rsidR="006572CD" w:rsidRPr="006572CD" w:rsidRDefault="006572CD" w:rsidP="00A72E9D">
            <w:pPr>
              <w:jc w:val="center"/>
              <w:rPr>
                <w:sz w:val="16"/>
                <w:szCs w:val="16"/>
              </w:rPr>
            </w:pPr>
            <w:r w:rsidRPr="006572CD">
              <w:rPr>
                <w:sz w:val="16"/>
                <w:szCs w:val="16"/>
              </w:rPr>
              <w:t>Divpusējās partnerības projekts</w:t>
            </w:r>
          </w:p>
          <w:p w:rsidR="006572CD" w:rsidRPr="006572CD" w:rsidRDefault="006572CD" w:rsidP="00A72E9D">
            <w:pPr>
              <w:jc w:val="center"/>
              <w:rPr>
                <w:sz w:val="16"/>
                <w:szCs w:val="16"/>
              </w:rPr>
            </w:pPr>
            <w:r w:rsidRPr="006572CD">
              <w:rPr>
                <w:sz w:val="16"/>
                <w:szCs w:val="16"/>
              </w:rPr>
              <w:t>„Studēt vai strādāt? Palikt vai aizbraukt?”</w:t>
            </w:r>
          </w:p>
          <w:p w:rsidR="006572CD" w:rsidRPr="006572CD" w:rsidRDefault="006572CD" w:rsidP="00A72E9D">
            <w:pPr>
              <w:jc w:val="center"/>
              <w:rPr>
                <w:sz w:val="16"/>
                <w:szCs w:val="16"/>
              </w:rPr>
            </w:pPr>
            <w:r w:rsidRPr="006572CD">
              <w:rPr>
                <w:sz w:val="16"/>
                <w:szCs w:val="16"/>
              </w:rPr>
              <w:t>Līguma nr. 2012-1-LV1-COM07-03497 1</w:t>
            </w:r>
          </w:p>
        </w:tc>
        <w:tc>
          <w:tcPr>
            <w:tcW w:w="2340" w:type="dxa"/>
          </w:tcPr>
          <w:p w:rsidR="006572CD" w:rsidRPr="00BF4EF4" w:rsidRDefault="006572CD" w:rsidP="00A72E9D">
            <w:pPr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290447" cy="476250"/>
                  <wp:effectExtent l="0" t="0" r="508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682" cy="477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3" w:type="dxa"/>
          </w:tcPr>
          <w:p w:rsidR="006572CD" w:rsidRPr="00BF4EF4" w:rsidRDefault="006572CD" w:rsidP="00A72E9D">
            <w:pPr>
              <w:jc w:val="center"/>
              <w:rPr>
                <w:sz w:val="16"/>
                <w:szCs w:val="16"/>
              </w:rPr>
            </w:pPr>
            <w:r w:rsidRPr="00BF4EF4">
              <w:rPr>
                <w:noProof/>
                <w:sz w:val="16"/>
                <w:szCs w:val="16"/>
                <w:lang w:eastAsia="lv-LV"/>
              </w:rPr>
              <w:drawing>
                <wp:inline distT="0" distB="0" distL="0" distR="0">
                  <wp:extent cx="1082675" cy="718457"/>
                  <wp:effectExtent l="0" t="0" r="3175" b="571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675" cy="7184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276" w:rsidRDefault="000E4276"/>
    <w:p w:rsidR="006572CD" w:rsidRDefault="006572CD"/>
    <w:p w:rsidR="006572CD" w:rsidRPr="006572CD" w:rsidRDefault="006572CD" w:rsidP="006572CD">
      <w:pPr>
        <w:jc w:val="center"/>
        <w:rPr>
          <w:rFonts w:ascii="Calibri" w:eastAsia="Calibri" w:hAnsi="Calibri" w:cs="Times New Roman"/>
          <w:b/>
          <w:noProof/>
          <w:lang w:eastAsia="lv-LV"/>
        </w:rPr>
      </w:pPr>
      <w:r w:rsidRPr="006572CD">
        <w:rPr>
          <w:rFonts w:ascii="Calibri" w:eastAsia="Calibri" w:hAnsi="Calibri" w:cs="Times New Roman"/>
          <w:b/>
          <w:noProof/>
          <w:lang w:eastAsia="lv-LV"/>
        </w:rPr>
        <w:t>Tikšanās ar portāla prakse.lv pārstāvjiem</w:t>
      </w:r>
    </w:p>
    <w:p w:rsidR="006572CD" w:rsidRPr="006572CD" w:rsidRDefault="006572CD" w:rsidP="006572CD">
      <w:pPr>
        <w:jc w:val="center"/>
        <w:rPr>
          <w:rFonts w:ascii="Calibri" w:eastAsia="Calibri" w:hAnsi="Calibri" w:cs="Times New Roman"/>
          <w:b/>
          <w:noProof/>
          <w:lang w:eastAsia="lv-LV"/>
        </w:rPr>
      </w:pPr>
      <w:r w:rsidRPr="006572CD">
        <w:rPr>
          <w:rFonts w:ascii="Calibri" w:eastAsia="Calibri" w:hAnsi="Calibri" w:cs="Times New Roman"/>
          <w:b/>
          <w:noProof/>
          <w:lang w:eastAsia="lv-LV"/>
        </w:rPr>
        <w:t>„Karjeras izglītība un piepr</w:t>
      </w:r>
      <w:r>
        <w:rPr>
          <w:rFonts w:ascii="Calibri" w:eastAsia="Calibri" w:hAnsi="Calibri" w:cs="Times New Roman"/>
          <w:b/>
          <w:noProof/>
          <w:lang w:eastAsia="lv-LV"/>
        </w:rPr>
        <w:t>a</w:t>
      </w:r>
      <w:r w:rsidRPr="006572CD">
        <w:rPr>
          <w:rFonts w:ascii="Calibri" w:eastAsia="Calibri" w:hAnsi="Calibri" w:cs="Times New Roman"/>
          <w:b/>
          <w:noProof/>
          <w:lang w:eastAsia="lv-LV"/>
        </w:rPr>
        <w:t>sītākās profesijas</w:t>
      </w:r>
      <w:r w:rsidR="0013604A">
        <w:rPr>
          <w:rFonts w:ascii="Calibri" w:eastAsia="Calibri" w:hAnsi="Calibri" w:cs="Times New Roman"/>
          <w:b/>
          <w:noProof/>
          <w:lang w:eastAsia="lv-LV"/>
        </w:rPr>
        <w:t>.</w:t>
      </w:r>
    </w:p>
    <w:p w:rsidR="006572CD" w:rsidRPr="006572CD" w:rsidRDefault="006572CD" w:rsidP="006572CD">
      <w:pPr>
        <w:jc w:val="center"/>
        <w:rPr>
          <w:rFonts w:ascii="Calibri" w:eastAsia="Calibri" w:hAnsi="Calibri" w:cs="Times New Roman"/>
          <w:b/>
          <w:noProof/>
          <w:lang w:eastAsia="lv-LV"/>
        </w:rPr>
      </w:pPr>
      <w:r w:rsidRPr="006572CD">
        <w:rPr>
          <w:rFonts w:ascii="Calibri" w:eastAsia="Calibri" w:hAnsi="Calibri" w:cs="Times New Roman"/>
          <w:b/>
          <w:noProof/>
          <w:lang w:eastAsia="lv-LV"/>
        </w:rPr>
        <w:t>Jaunietis  Latvijas darba tirgū”</w:t>
      </w:r>
    </w:p>
    <w:p w:rsidR="006572CD" w:rsidRDefault="006572CD" w:rsidP="006572CD">
      <w:pPr>
        <w:jc w:val="center"/>
        <w:rPr>
          <w:rFonts w:ascii="Calibri" w:eastAsia="Calibri" w:hAnsi="Calibri" w:cs="Times New Roman"/>
          <w:noProof/>
          <w:lang w:eastAsia="lv-LV"/>
        </w:rPr>
      </w:pPr>
      <w:r w:rsidRPr="006572CD">
        <w:rPr>
          <w:rFonts w:ascii="Calibri" w:eastAsia="Calibri" w:hAnsi="Calibri" w:cs="Times New Roman"/>
          <w:noProof/>
          <w:lang w:eastAsia="lv-LV"/>
        </w:rPr>
        <w:t>03.12.2013.</w:t>
      </w:r>
    </w:p>
    <w:p w:rsidR="006572CD" w:rsidRDefault="006572CD" w:rsidP="006572CD">
      <w:pPr>
        <w:jc w:val="center"/>
        <w:rPr>
          <w:rFonts w:ascii="Calibri" w:eastAsia="Calibri" w:hAnsi="Calibri" w:cs="Times New Roman"/>
          <w:noProof/>
          <w:lang w:eastAsia="lv-LV"/>
        </w:rPr>
      </w:pPr>
      <w:r>
        <w:rPr>
          <w:rFonts w:ascii="Calibri" w:eastAsia="Calibri" w:hAnsi="Calibri" w:cs="Times New Roman"/>
          <w:noProof/>
          <w:lang w:eastAsia="lv-LV"/>
        </w:rPr>
        <w:t xml:space="preserve">Jelgavas 4. </w:t>
      </w:r>
      <w:r w:rsidR="00012DF2">
        <w:rPr>
          <w:rFonts w:ascii="Calibri" w:eastAsia="Calibri" w:hAnsi="Calibri" w:cs="Times New Roman"/>
          <w:noProof/>
          <w:lang w:eastAsia="lv-LV"/>
        </w:rPr>
        <w:t>v</w:t>
      </w:r>
      <w:bookmarkStart w:id="0" w:name="_GoBack"/>
      <w:bookmarkEnd w:id="0"/>
      <w:r>
        <w:rPr>
          <w:rFonts w:ascii="Calibri" w:eastAsia="Calibri" w:hAnsi="Calibri" w:cs="Times New Roman"/>
          <w:noProof/>
          <w:lang w:eastAsia="lv-LV"/>
        </w:rPr>
        <w:t>idusskolā</w:t>
      </w:r>
    </w:p>
    <w:p w:rsidR="006572CD" w:rsidRDefault="006572CD" w:rsidP="006572CD">
      <w:pPr>
        <w:jc w:val="center"/>
        <w:rPr>
          <w:rFonts w:ascii="Calibri" w:eastAsia="Calibri" w:hAnsi="Calibri" w:cs="Times New Roman"/>
          <w:noProof/>
          <w:lang w:eastAsia="lv-LV"/>
        </w:rPr>
      </w:pPr>
    </w:p>
    <w:p w:rsidR="006572CD" w:rsidRDefault="006572CD" w:rsidP="00012DF2">
      <w:pPr>
        <w:spacing w:after="0"/>
        <w:ind w:firstLine="1354"/>
        <w:jc w:val="both"/>
        <w:rPr>
          <w:sz w:val="24"/>
          <w:szCs w:val="24"/>
        </w:rPr>
      </w:pPr>
      <w:r>
        <w:rPr>
          <w:rFonts w:ascii="Calibri" w:eastAsia="Calibri" w:hAnsi="Calibri" w:cs="Times New Roman"/>
          <w:noProof/>
          <w:lang w:eastAsia="lv-LV"/>
        </w:rPr>
        <w:t xml:space="preserve">2013. g. 3.decembrī  Comenius divpusējā </w:t>
      </w:r>
      <w:r w:rsidRPr="006572CD">
        <w:rPr>
          <w:rFonts w:ascii="Calibri" w:eastAsia="Calibri" w:hAnsi="Calibri" w:cs="Times New Roman"/>
          <w:noProof/>
          <w:sz w:val="24"/>
          <w:szCs w:val="24"/>
          <w:lang w:eastAsia="lv-LV"/>
        </w:rPr>
        <w:t xml:space="preserve">projekta </w:t>
      </w:r>
      <w:r w:rsidRPr="006572CD">
        <w:rPr>
          <w:sz w:val="24"/>
          <w:szCs w:val="24"/>
        </w:rPr>
        <w:t>„Studēt vai strādāt? Palikt vai aizbraukt?”</w:t>
      </w:r>
      <w:r>
        <w:rPr>
          <w:sz w:val="24"/>
          <w:szCs w:val="24"/>
        </w:rPr>
        <w:t xml:space="preserve"> dalībniekiem bija iespēja tikties ar portāla </w:t>
      </w:r>
      <w:proofErr w:type="spellStart"/>
      <w:r>
        <w:rPr>
          <w:sz w:val="24"/>
          <w:szCs w:val="24"/>
        </w:rPr>
        <w:t>prakse.lv</w:t>
      </w:r>
      <w:proofErr w:type="spellEnd"/>
      <w:r>
        <w:rPr>
          <w:sz w:val="24"/>
          <w:szCs w:val="24"/>
        </w:rPr>
        <w:t xml:space="preserve"> darbiniekiem. Viņi parādīja filmiņu un pastāstīja par profesijām, kas tuvākajos piecos gados būs pieprasītas un kādas profesijas pamazām aiziet nebūtībā. Projekta dalībnieki varēja iepazīties arī </w:t>
      </w:r>
      <w:proofErr w:type="spellStart"/>
      <w:r>
        <w:rPr>
          <w:sz w:val="24"/>
          <w:szCs w:val="24"/>
        </w:rPr>
        <w:t>arī</w:t>
      </w:r>
      <w:proofErr w:type="spellEnd"/>
      <w:r>
        <w:rPr>
          <w:sz w:val="24"/>
          <w:szCs w:val="24"/>
        </w:rPr>
        <w:t xml:space="preserve"> augstskolu „Turība”.</w:t>
      </w:r>
    </w:p>
    <w:p w:rsidR="006572CD" w:rsidRDefault="006572CD" w:rsidP="00012DF2">
      <w:pPr>
        <w:spacing w:after="0"/>
        <w:ind w:firstLine="1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Skolēni uzdeva jautājumus par darba tirgus tendencēm, par CV un motivācijas vēstuļu rakstīšanu. </w:t>
      </w:r>
      <w:proofErr w:type="spellStart"/>
      <w:r>
        <w:rPr>
          <w:sz w:val="24"/>
          <w:szCs w:val="24"/>
        </w:rPr>
        <w:t>Prakse.lv</w:t>
      </w:r>
      <w:proofErr w:type="spellEnd"/>
      <w:r>
        <w:rPr>
          <w:sz w:val="24"/>
          <w:szCs w:val="24"/>
        </w:rPr>
        <w:t xml:space="preserve"> darbinieces sniedza izsmeļošas atbildes. </w:t>
      </w:r>
    </w:p>
    <w:p w:rsidR="006572CD" w:rsidRPr="006572CD" w:rsidRDefault="006572CD" w:rsidP="00012DF2">
      <w:pPr>
        <w:spacing w:after="0"/>
        <w:ind w:firstLine="13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Tikšanās noslēgumā </w:t>
      </w:r>
      <w:proofErr w:type="spellStart"/>
      <w:r>
        <w:rPr>
          <w:sz w:val="24"/>
          <w:szCs w:val="24"/>
        </w:rPr>
        <w:t>prakse.lv</w:t>
      </w:r>
      <w:proofErr w:type="spellEnd"/>
      <w:r>
        <w:rPr>
          <w:sz w:val="24"/>
          <w:szCs w:val="24"/>
        </w:rPr>
        <w:t xml:space="preserve"> izdalīja bukletus ar svarīgām interneta adresēm, kas varētu būt noderīgas jauniešiem, kas gatavojas studēt vai strādāt.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4261"/>
      </w:tblGrid>
      <w:tr w:rsidR="006572CD" w:rsidTr="00012DF2">
        <w:tc>
          <w:tcPr>
            <w:tcW w:w="4261" w:type="dxa"/>
          </w:tcPr>
          <w:p w:rsidR="006572CD" w:rsidRDefault="006572CD" w:rsidP="00012DF2">
            <w:pPr>
              <w:jc w:val="center"/>
              <w:rPr>
                <w:rFonts w:ascii="Calibri" w:eastAsia="Calibri" w:hAnsi="Calibri" w:cs="Times New Roman"/>
                <w:noProof/>
                <w:lang w:eastAsia="lv-LV"/>
              </w:rPr>
            </w:pPr>
            <w:r>
              <w:rPr>
                <w:rFonts w:ascii="Calibri" w:eastAsia="Calibri" w:hAnsi="Calibri" w:cs="Times New Roman"/>
                <w:noProof/>
                <w:lang w:eastAsia="lv-LV"/>
              </w:rPr>
              <w:drawing>
                <wp:inline distT="0" distB="0" distL="0" distR="0">
                  <wp:extent cx="2371725" cy="1778446"/>
                  <wp:effectExtent l="0" t="0" r="0" b="0"/>
                  <wp:docPr id="4" name="Picture 4" descr="C:\Users\user\Pictures\10a\pecpusdiena\CAM00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Pictures\10a\pecpusdiena\CAM00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01" cy="1777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6572CD" w:rsidRDefault="006572CD" w:rsidP="00012DF2">
            <w:pPr>
              <w:jc w:val="center"/>
              <w:rPr>
                <w:rFonts w:ascii="Calibri" w:eastAsia="Calibri" w:hAnsi="Calibri" w:cs="Times New Roman"/>
                <w:noProof/>
                <w:lang w:eastAsia="lv-LV"/>
              </w:rPr>
            </w:pPr>
            <w:r>
              <w:rPr>
                <w:rFonts w:ascii="Calibri" w:eastAsia="Calibri" w:hAnsi="Calibri" w:cs="Times New Roman"/>
                <w:noProof/>
                <w:lang w:eastAsia="lv-LV"/>
              </w:rPr>
              <w:drawing>
                <wp:inline distT="0" distB="0" distL="0" distR="0">
                  <wp:extent cx="2356714" cy="1767191"/>
                  <wp:effectExtent l="0" t="0" r="5715" b="5080"/>
                  <wp:docPr id="5" name="Picture 5" descr="C:\Users\user\Pictures\10a\pecpusdiena\CAM00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10a\pecpusdiena\CAM00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319" cy="1769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DF2" w:rsidTr="00012DF2">
        <w:tc>
          <w:tcPr>
            <w:tcW w:w="8522" w:type="dxa"/>
            <w:gridSpan w:val="2"/>
          </w:tcPr>
          <w:p w:rsidR="00012DF2" w:rsidRDefault="00012DF2" w:rsidP="00012DF2">
            <w:pPr>
              <w:jc w:val="center"/>
              <w:rPr>
                <w:rFonts w:ascii="Calibri" w:eastAsia="Calibri" w:hAnsi="Calibri" w:cs="Times New Roman"/>
                <w:noProof/>
                <w:lang w:eastAsia="lv-LV"/>
              </w:rPr>
            </w:pPr>
            <w:r>
              <w:rPr>
                <w:rFonts w:ascii="Calibri" w:eastAsia="Calibri" w:hAnsi="Calibri" w:cs="Times New Roman"/>
                <w:noProof/>
                <w:lang w:eastAsia="lv-LV"/>
              </w:rPr>
              <w:drawing>
                <wp:inline distT="0" distB="0" distL="0" distR="0">
                  <wp:extent cx="2057400" cy="1542749"/>
                  <wp:effectExtent l="0" t="0" r="0" b="635"/>
                  <wp:docPr id="6" name="Picture 6" descr="C:\Users\user\Pictures\10a\pecpusdiena\CAM002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10a\pecpusdiena\CAM002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781" cy="154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72CD" w:rsidRDefault="006572CD"/>
    <w:sectPr w:rsidR="006572CD" w:rsidSect="00A91B50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72CD"/>
    <w:rsid w:val="00012DF2"/>
    <w:rsid w:val="000E4276"/>
    <w:rsid w:val="0013604A"/>
    <w:rsid w:val="006572CD"/>
    <w:rsid w:val="00A91B50"/>
    <w:rsid w:val="00FD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7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7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Ingrīda Drēska</dc:creator>
  <cp:lastModifiedBy>User</cp:lastModifiedBy>
  <cp:revision>3</cp:revision>
  <dcterms:created xsi:type="dcterms:W3CDTF">2014-01-03T16:58:00Z</dcterms:created>
  <dcterms:modified xsi:type="dcterms:W3CDTF">2014-08-28T19:49:00Z</dcterms:modified>
</cp:coreProperties>
</file>